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BF62" w14:textId="77777777" w:rsidR="004B30C0" w:rsidRDefault="004B30C0" w:rsidP="004B30C0">
      <w:pPr>
        <w:jc w:val="center"/>
        <w:rPr>
          <w:rFonts w:cs="Arial"/>
          <w:b/>
          <w:bCs/>
          <w:szCs w:val="24"/>
        </w:rPr>
      </w:pPr>
      <w:r>
        <w:rPr>
          <w:noProof/>
        </w:rPr>
        <w:drawing>
          <wp:inline distT="0" distB="0" distL="0" distR="0" wp14:anchorId="450B75B8" wp14:editId="4CBE8820">
            <wp:extent cx="1768415" cy="927794"/>
            <wp:effectExtent l="0" t="0" r="3810" b="5715"/>
            <wp:docPr id="1" name="Picture 1" descr="S:\External relations\Image library\Logos\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68415" cy="927794"/>
                    </a:xfrm>
                    <a:prstGeom prst="rect">
                      <a:avLst/>
                    </a:prstGeom>
                  </pic:spPr>
                </pic:pic>
              </a:graphicData>
            </a:graphic>
          </wp:inline>
        </w:drawing>
      </w:r>
    </w:p>
    <w:p w14:paraId="5B09FFEC" w14:textId="77777777" w:rsidR="004B30C0" w:rsidRDefault="004B30C0" w:rsidP="004B30C0">
      <w:pPr>
        <w:jc w:val="center"/>
        <w:rPr>
          <w:rFonts w:cs="Arial"/>
          <w:b/>
          <w:bCs/>
          <w:szCs w:val="24"/>
        </w:rPr>
      </w:pPr>
    </w:p>
    <w:p w14:paraId="29ABDB2D" w14:textId="77777777" w:rsidR="004B30C0" w:rsidRDefault="004B30C0" w:rsidP="004B30C0">
      <w:pPr>
        <w:jc w:val="center"/>
        <w:rPr>
          <w:rFonts w:cs="Arial"/>
          <w:b/>
          <w:bCs/>
          <w:szCs w:val="24"/>
        </w:rPr>
      </w:pPr>
    </w:p>
    <w:p w14:paraId="41040A0A" w14:textId="77777777" w:rsidR="004B30C0" w:rsidRDefault="004B30C0" w:rsidP="004B30C0">
      <w:pPr>
        <w:jc w:val="center"/>
        <w:rPr>
          <w:rFonts w:cs="Arial"/>
          <w:b/>
          <w:bCs/>
          <w:szCs w:val="24"/>
        </w:rPr>
      </w:pPr>
    </w:p>
    <w:p w14:paraId="5302006B" w14:textId="77777777" w:rsidR="004B30C0" w:rsidRDefault="004B30C0" w:rsidP="004B30C0">
      <w:pPr>
        <w:jc w:val="center"/>
        <w:rPr>
          <w:rFonts w:cs="Arial"/>
          <w:b/>
          <w:bCs/>
          <w:sz w:val="32"/>
          <w:szCs w:val="32"/>
        </w:rPr>
      </w:pPr>
      <w:r w:rsidRPr="00E86F01">
        <w:rPr>
          <w:rFonts w:cs="Arial"/>
          <w:b/>
          <w:bCs/>
          <w:sz w:val="32"/>
          <w:szCs w:val="32"/>
        </w:rPr>
        <w:t>The care and treatment of children and adolescents in relation to their gender identity: ethical issues</w:t>
      </w:r>
    </w:p>
    <w:p w14:paraId="0ED6DA19" w14:textId="77777777" w:rsidR="004B30C0" w:rsidRDefault="004B30C0" w:rsidP="004B30C0">
      <w:pPr>
        <w:jc w:val="center"/>
        <w:rPr>
          <w:rFonts w:cs="Arial"/>
          <w:b/>
          <w:bCs/>
          <w:sz w:val="32"/>
          <w:szCs w:val="32"/>
        </w:rPr>
      </w:pPr>
    </w:p>
    <w:p w14:paraId="6379A0A9" w14:textId="77777777" w:rsidR="004B30C0" w:rsidRDefault="004B30C0" w:rsidP="004B30C0">
      <w:pPr>
        <w:jc w:val="center"/>
        <w:rPr>
          <w:rFonts w:cs="Arial"/>
          <w:b/>
          <w:bCs/>
          <w:sz w:val="32"/>
          <w:szCs w:val="32"/>
        </w:rPr>
      </w:pPr>
    </w:p>
    <w:p w14:paraId="4C155A58" w14:textId="234A27BB" w:rsidR="004B30C0" w:rsidRDefault="004B30C0" w:rsidP="004B30C0">
      <w:pPr>
        <w:jc w:val="center"/>
        <w:rPr>
          <w:rFonts w:cs="Arial"/>
          <w:b/>
          <w:bCs/>
          <w:sz w:val="36"/>
          <w:szCs w:val="36"/>
        </w:rPr>
      </w:pPr>
      <w:r w:rsidRPr="00E86F01">
        <w:rPr>
          <w:rFonts w:cs="Arial"/>
          <w:b/>
          <w:bCs/>
          <w:sz w:val="36"/>
          <w:szCs w:val="36"/>
        </w:rPr>
        <w:t xml:space="preserve">Call for evidence </w:t>
      </w:r>
    </w:p>
    <w:p w14:paraId="6EE2F44B" w14:textId="13C2C667" w:rsidR="00C96E95" w:rsidRDefault="00C96E95" w:rsidP="004B30C0">
      <w:pPr>
        <w:jc w:val="center"/>
        <w:rPr>
          <w:rFonts w:cs="Arial"/>
          <w:b/>
          <w:bCs/>
          <w:sz w:val="36"/>
          <w:szCs w:val="36"/>
        </w:rPr>
      </w:pPr>
    </w:p>
    <w:p w14:paraId="6A37D1D6" w14:textId="050749EE" w:rsidR="004B30C0" w:rsidRPr="00E86F01" w:rsidRDefault="004B30C0" w:rsidP="004B30C0">
      <w:pPr>
        <w:jc w:val="center"/>
        <w:rPr>
          <w:rFonts w:cs="Arial"/>
          <w:b/>
          <w:bCs/>
          <w:sz w:val="36"/>
          <w:szCs w:val="36"/>
        </w:rPr>
      </w:pPr>
    </w:p>
    <w:p w14:paraId="7A79DFD9" w14:textId="77777777" w:rsidR="004B30C0" w:rsidRPr="00E86F01" w:rsidRDefault="004B30C0" w:rsidP="004B30C0">
      <w:pPr>
        <w:rPr>
          <w:rFonts w:cs="Arial"/>
          <w:b/>
          <w:bCs/>
          <w:sz w:val="28"/>
          <w:szCs w:val="28"/>
        </w:rPr>
      </w:pPr>
    </w:p>
    <w:p w14:paraId="308D7142" w14:textId="77777777" w:rsidR="004B30C0" w:rsidRDefault="004B30C0" w:rsidP="004B30C0">
      <w:pPr>
        <w:rPr>
          <w:rFonts w:cs="Arial"/>
          <w:b/>
          <w:bCs/>
          <w:sz w:val="32"/>
          <w:szCs w:val="32"/>
        </w:rPr>
      </w:pPr>
    </w:p>
    <w:p w14:paraId="3D3EBA55" w14:textId="77777777" w:rsidR="004B30C0" w:rsidRDefault="004B30C0" w:rsidP="004B30C0">
      <w:pPr>
        <w:rPr>
          <w:rFonts w:cs="Arial"/>
          <w:b/>
          <w:bCs/>
          <w:sz w:val="32"/>
          <w:szCs w:val="32"/>
        </w:rPr>
      </w:pPr>
    </w:p>
    <w:p w14:paraId="2A7F220D" w14:textId="77777777" w:rsidR="004B30C0" w:rsidRDefault="004B30C0" w:rsidP="004B30C0">
      <w:pPr>
        <w:rPr>
          <w:rFonts w:cs="Arial"/>
          <w:b/>
          <w:bCs/>
          <w:sz w:val="32"/>
          <w:szCs w:val="32"/>
        </w:rPr>
      </w:pPr>
    </w:p>
    <w:p w14:paraId="6A4A1806" w14:textId="7578DEE5" w:rsidR="004B30C0" w:rsidRDefault="004B30C0" w:rsidP="004B30C0">
      <w:pPr>
        <w:rPr>
          <w:rFonts w:cs="Arial"/>
          <w:b/>
          <w:bCs/>
          <w:sz w:val="32"/>
          <w:szCs w:val="32"/>
        </w:rPr>
      </w:pPr>
    </w:p>
    <w:p w14:paraId="390BFC91" w14:textId="77777777" w:rsidR="004B30C0" w:rsidRDefault="004B30C0" w:rsidP="004B30C0">
      <w:pPr>
        <w:rPr>
          <w:rFonts w:cs="Arial"/>
          <w:b/>
          <w:bCs/>
          <w:sz w:val="32"/>
          <w:szCs w:val="32"/>
        </w:rPr>
      </w:pPr>
    </w:p>
    <w:p w14:paraId="37888D13" w14:textId="270710F6" w:rsidR="004B30C0" w:rsidRDefault="004B30C0" w:rsidP="004B30C0">
      <w:pPr>
        <w:rPr>
          <w:rFonts w:cs="Arial"/>
          <w:b/>
          <w:bCs/>
          <w:sz w:val="32"/>
          <w:szCs w:val="32"/>
        </w:rPr>
      </w:pPr>
    </w:p>
    <w:p w14:paraId="5522749F" w14:textId="77777777" w:rsidR="00B65F84" w:rsidRDefault="00B65F84" w:rsidP="004B30C0">
      <w:pPr>
        <w:rPr>
          <w:rFonts w:cs="Arial"/>
          <w:b/>
          <w:bCs/>
          <w:sz w:val="32"/>
          <w:szCs w:val="32"/>
        </w:rPr>
      </w:pPr>
    </w:p>
    <w:p w14:paraId="507E84AD" w14:textId="77777777" w:rsidR="004B30C0" w:rsidRDefault="004B30C0" w:rsidP="004B30C0">
      <w:pPr>
        <w:rPr>
          <w:rFonts w:cs="Arial"/>
          <w:b/>
          <w:bCs/>
          <w:sz w:val="28"/>
          <w:szCs w:val="28"/>
        </w:rPr>
      </w:pPr>
    </w:p>
    <w:p w14:paraId="20B4B478" w14:textId="77777777" w:rsidR="004B30C0" w:rsidRPr="00E86F01" w:rsidRDefault="00C07905" w:rsidP="004B30C0">
      <w:pPr>
        <w:rPr>
          <w:rFonts w:cs="Arial"/>
          <w:b/>
          <w:bCs/>
          <w:sz w:val="28"/>
          <w:szCs w:val="28"/>
        </w:rPr>
      </w:pPr>
      <w:hyperlink w:anchor="_Introduction" w:history="1">
        <w:r w:rsidR="004B30C0" w:rsidRPr="00506BB0">
          <w:rPr>
            <w:rStyle w:val="Hyperlink"/>
            <w:rFonts w:cs="Arial"/>
            <w:b/>
            <w:bCs/>
            <w:sz w:val="28"/>
            <w:szCs w:val="28"/>
          </w:rPr>
          <w:t>Introduction</w:t>
        </w:r>
      </w:hyperlink>
    </w:p>
    <w:p w14:paraId="4F7C2E58" w14:textId="77777777" w:rsidR="004B30C0" w:rsidRPr="00E86F01" w:rsidRDefault="00C07905" w:rsidP="004B30C0">
      <w:pPr>
        <w:rPr>
          <w:rFonts w:cs="Arial"/>
          <w:b/>
          <w:bCs/>
          <w:sz w:val="28"/>
          <w:szCs w:val="28"/>
        </w:rPr>
      </w:pPr>
      <w:hyperlink w:anchor="_Section_1:_Nature" w:history="1">
        <w:r w:rsidR="004B30C0" w:rsidRPr="00506BB0">
          <w:rPr>
            <w:rStyle w:val="Hyperlink"/>
            <w:rFonts w:cs="Arial"/>
            <w:b/>
            <w:bCs/>
            <w:sz w:val="28"/>
            <w:szCs w:val="28"/>
          </w:rPr>
          <w:t>Section 1 - The nature of gender dysphoria</w:t>
        </w:r>
      </w:hyperlink>
    </w:p>
    <w:p w14:paraId="6A0ABC22" w14:textId="77777777" w:rsidR="004B30C0" w:rsidRPr="00E86F01" w:rsidRDefault="00C07905" w:rsidP="004B30C0">
      <w:pPr>
        <w:rPr>
          <w:rFonts w:cs="Arial"/>
          <w:b/>
          <w:bCs/>
          <w:sz w:val="28"/>
          <w:szCs w:val="28"/>
        </w:rPr>
      </w:pPr>
      <w:hyperlink w:anchor="_Section_2:_The" w:history="1">
        <w:r w:rsidR="004B30C0" w:rsidRPr="00506BB0">
          <w:rPr>
            <w:rStyle w:val="Hyperlink"/>
            <w:rFonts w:cs="Arial"/>
            <w:b/>
            <w:bCs/>
            <w:sz w:val="28"/>
            <w:szCs w:val="28"/>
          </w:rPr>
          <w:t>Section 2 - The social context</w:t>
        </w:r>
      </w:hyperlink>
    </w:p>
    <w:p w14:paraId="38E06035" w14:textId="616E6276" w:rsidR="004B30C0" w:rsidRDefault="00C07905" w:rsidP="004B30C0">
      <w:pPr>
        <w:rPr>
          <w:rFonts w:cs="Arial"/>
          <w:b/>
          <w:bCs/>
          <w:sz w:val="28"/>
          <w:szCs w:val="28"/>
        </w:rPr>
      </w:pPr>
      <w:hyperlink w:anchor="_Section_3:_Research" w:history="1">
        <w:r w:rsidR="004B30C0" w:rsidRPr="00506BB0">
          <w:rPr>
            <w:rStyle w:val="Hyperlink"/>
            <w:rFonts w:cs="Arial"/>
            <w:b/>
            <w:bCs/>
            <w:sz w:val="28"/>
            <w:szCs w:val="28"/>
          </w:rPr>
          <w:t>Section 3 - Research</w:t>
        </w:r>
      </w:hyperlink>
      <w:r w:rsidR="004B30C0">
        <w:rPr>
          <w:rStyle w:val="Hyperlink"/>
          <w:rFonts w:cs="Arial"/>
          <w:b/>
          <w:bCs/>
          <w:sz w:val="28"/>
          <w:szCs w:val="28"/>
        </w:rPr>
        <w:t xml:space="preserve"> evidence </w:t>
      </w:r>
    </w:p>
    <w:p w14:paraId="12D7B4C3" w14:textId="77777777" w:rsidR="004B30C0" w:rsidRDefault="00C07905" w:rsidP="004B30C0">
      <w:pPr>
        <w:rPr>
          <w:rFonts w:cs="Arial"/>
          <w:b/>
          <w:bCs/>
          <w:sz w:val="28"/>
          <w:szCs w:val="28"/>
        </w:rPr>
      </w:pPr>
      <w:hyperlink w:anchor="_Section_4:_Approaches" w:history="1">
        <w:r w:rsidR="004B30C0" w:rsidRPr="00506BB0">
          <w:rPr>
            <w:rStyle w:val="Hyperlink"/>
            <w:rFonts w:cs="Arial"/>
            <w:b/>
            <w:bCs/>
            <w:sz w:val="28"/>
            <w:szCs w:val="28"/>
          </w:rPr>
          <w:t>Section 4 - Approaches to care and treatment</w:t>
        </w:r>
      </w:hyperlink>
    </w:p>
    <w:p w14:paraId="783E58B4" w14:textId="7D68058F" w:rsidR="004B30C0" w:rsidRDefault="00C07905" w:rsidP="004B30C0">
      <w:pPr>
        <w:rPr>
          <w:rFonts w:cs="Arial"/>
          <w:b/>
          <w:bCs/>
          <w:sz w:val="28"/>
          <w:szCs w:val="28"/>
        </w:rPr>
      </w:pPr>
      <w:hyperlink w:anchor="_Section_5:_Benefit" w:history="1">
        <w:r w:rsidR="004B30C0" w:rsidRPr="00506BB0">
          <w:rPr>
            <w:rStyle w:val="Hyperlink"/>
            <w:rFonts w:cs="Arial"/>
            <w:b/>
            <w:bCs/>
            <w:sz w:val="28"/>
            <w:szCs w:val="28"/>
          </w:rPr>
          <w:t>Section 5 - Understanding benefit and harm</w:t>
        </w:r>
      </w:hyperlink>
    </w:p>
    <w:p w14:paraId="0ADDF69E" w14:textId="77777777" w:rsidR="004B30C0" w:rsidRDefault="00C07905" w:rsidP="004B30C0">
      <w:pPr>
        <w:rPr>
          <w:rFonts w:cs="Arial"/>
          <w:b/>
          <w:bCs/>
          <w:sz w:val="28"/>
          <w:szCs w:val="28"/>
        </w:rPr>
      </w:pPr>
      <w:hyperlink w:anchor="_Section_6:_Consent" w:history="1">
        <w:r w:rsidR="004B30C0" w:rsidRPr="00506BB0">
          <w:rPr>
            <w:rStyle w:val="Hyperlink"/>
            <w:rFonts w:cs="Arial"/>
            <w:b/>
            <w:bCs/>
            <w:sz w:val="28"/>
            <w:szCs w:val="28"/>
          </w:rPr>
          <w:t>Section 6 - Consent and capacity</w:t>
        </w:r>
      </w:hyperlink>
    </w:p>
    <w:p w14:paraId="004ABD61" w14:textId="77777777" w:rsidR="004B30C0" w:rsidRPr="00E86F01" w:rsidRDefault="00C07905" w:rsidP="004B30C0">
      <w:pPr>
        <w:rPr>
          <w:rFonts w:cs="Arial"/>
          <w:b/>
          <w:bCs/>
          <w:sz w:val="28"/>
          <w:szCs w:val="28"/>
        </w:rPr>
      </w:pPr>
      <w:hyperlink w:anchor="_Section_7:_Other" w:history="1">
        <w:r w:rsidR="004B30C0" w:rsidRPr="00506BB0">
          <w:rPr>
            <w:rStyle w:val="Hyperlink"/>
            <w:rFonts w:cs="Arial"/>
            <w:b/>
            <w:bCs/>
            <w:sz w:val="28"/>
            <w:szCs w:val="28"/>
          </w:rPr>
          <w:t>Section  7 - Other</w:t>
        </w:r>
      </w:hyperlink>
      <w:r w:rsidR="004B30C0">
        <w:rPr>
          <w:rFonts w:cs="Arial"/>
          <w:b/>
          <w:bCs/>
          <w:sz w:val="28"/>
          <w:szCs w:val="28"/>
        </w:rPr>
        <w:t xml:space="preserve"> </w:t>
      </w:r>
    </w:p>
    <w:p w14:paraId="4E4FEBA2" w14:textId="77777777" w:rsidR="004B30C0" w:rsidRDefault="004B30C0" w:rsidP="004B30C0">
      <w:pPr>
        <w:pStyle w:val="ListParagraph"/>
        <w:rPr>
          <w:rFonts w:cs="Arial"/>
          <w:b/>
          <w:bCs/>
          <w:sz w:val="28"/>
          <w:szCs w:val="28"/>
        </w:rPr>
      </w:pPr>
    </w:p>
    <w:p w14:paraId="6B0F84EF" w14:textId="77777777" w:rsidR="004B30C0" w:rsidRDefault="004B30C0" w:rsidP="004B30C0">
      <w:pPr>
        <w:pStyle w:val="ListParagraph"/>
        <w:rPr>
          <w:rFonts w:cs="Arial"/>
          <w:b/>
          <w:bCs/>
          <w:sz w:val="28"/>
          <w:szCs w:val="28"/>
        </w:rPr>
      </w:pPr>
    </w:p>
    <w:p w14:paraId="4D6BC04E" w14:textId="77777777" w:rsidR="004B30C0" w:rsidRDefault="004B30C0" w:rsidP="004B30C0">
      <w:pPr>
        <w:pStyle w:val="ListParagraph"/>
        <w:rPr>
          <w:rFonts w:cs="Arial"/>
          <w:b/>
          <w:bCs/>
          <w:sz w:val="28"/>
          <w:szCs w:val="28"/>
        </w:rPr>
      </w:pPr>
    </w:p>
    <w:p w14:paraId="39BD575D" w14:textId="77777777" w:rsidR="004B30C0" w:rsidRDefault="004B30C0" w:rsidP="004B30C0">
      <w:pPr>
        <w:pStyle w:val="ListParagraph"/>
        <w:rPr>
          <w:rFonts w:cs="Arial"/>
          <w:b/>
          <w:bCs/>
          <w:sz w:val="28"/>
          <w:szCs w:val="28"/>
        </w:rPr>
      </w:pPr>
    </w:p>
    <w:p w14:paraId="2FCD5B42" w14:textId="77777777" w:rsidR="004B30C0" w:rsidRDefault="004B30C0" w:rsidP="004B30C0">
      <w:pPr>
        <w:pStyle w:val="ListParagraph"/>
        <w:rPr>
          <w:rFonts w:cs="Arial"/>
          <w:b/>
          <w:bCs/>
          <w:sz w:val="28"/>
          <w:szCs w:val="28"/>
        </w:rPr>
      </w:pPr>
    </w:p>
    <w:p w14:paraId="7432CFF6" w14:textId="77777777" w:rsidR="004B30C0" w:rsidRDefault="004B30C0" w:rsidP="004B30C0">
      <w:pPr>
        <w:pStyle w:val="ListParagraph"/>
        <w:rPr>
          <w:rFonts w:cs="Arial"/>
          <w:b/>
          <w:bCs/>
          <w:sz w:val="28"/>
          <w:szCs w:val="28"/>
        </w:rPr>
      </w:pPr>
    </w:p>
    <w:p w14:paraId="5C60FA2A" w14:textId="77777777" w:rsidR="004B30C0" w:rsidRDefault="004B30C0" w:rsidP="004B30C0">
      <w:pPr>
        <w:pStyle w:val="ListParagraph"/>
        <w:rPr>
          <w:rFonts w:cs="Arial"/>
          <w:b/>
          <w:bCs/>
          <w:sz w:val="28"/>
          <w:szCs w:val="28"/>
        </w:rPr>
      </w:pPr>
    </w:p>
    <w:p w14:paraId="0F6A0962" w14:textId="77777777" w:rsidR="004B30C0" w:rsidRDefault="004B30C0" w:rsidP="004B30C0">
      <w:pPr>
        <w:pStyle w:val="ListParagraph"/>
        <w:rPr>
          <w:rFonts w:cs="Arial"/>
          <w:b/>
          <w:bCs/>
          <w:sz w:val="28"/>
          <w:szCs w:val="28"/>
        </w:rPr>
      </w:pPr>
    </w:p>
    <w:p w14:paraId="71F6AC32" w14:textId="77777777" w:rsidR="004B30C0" w:rsidRDefault="004B30C0" w:rsidP="004B30C0">
      <w:pPr>
        <w:pStyle w:val="ListParagraph"/>
        <w:rPr>
          <w:rFonts w:cs="Arial"/>
          <w:b/>
          <w:bCs/>
          <w:sz w:val="28"/>
          <w:szCs w:val="28"/>
        </w:rPr>
      </w:pPr>
    </w:p>
    <w:p w14:paraId="1F38F1D4" w14:textId="77777777" w:rsidR="004B30C0" w:rsidRDefault="004B30C0" w:rsidP="004B30C0">
      <w:pPr>
        <w:pStyle w:val="ListParagraph"/>
        <w:rPr>
          <w:rFonts w:cs="Arial"/>
          <w:b/>
          <w:bCs/>
          <w:sz w:val="28"/>
          <w:szCs w:val="28"/>
        </w:rPr>
      </w:pPr>
    </w:p>
    <w:p w14:paraId="66A208A3" w14:textId="77777777" w:rsidR="004B30C0" w:rsidRDefault="004B30C0" w:rsidP="004B30C0">
      <w:pPr>
        <w:pStyle w:val="ListParagraph"/>
        <w:rPr>
          <w:rFonts w:cs="Arial"/>
          <w:b/>
          <w:bCs/>
          <w:sz w:val="28"/>
          <w:szCs w:val="28"/>
        </w:rPr>
      </w:pPr>
    </w:p>
    <w:p w14:paraId="71323F03" w14:textId="77777777" w:rsidR="004B30C0" w:rsidRDefault="004B30C0" w:rsidP="004B30C0">
      <w:pPr>
        <w:pStyle w:val="ListParagraph"/>
        <w:rPr>
          <w:rFonts w:cs="Arial"/>
          <w:b/>
          <w:bCs/>
          <w:sz w:val="28"/>
          <w:szCs w:val="28"/>
        </w:rPr>
      </w:pPr>
    </w:p>
    <w:p w14:paraId="2FA84236" w14:textId="1BE50671" w:rsidR="004B30C0" w:rsidRDefault="004B30C0" w:rsidP="004B30C0">
      <w:pPr>
        <w:pStyle w:val="ListParagraph"/>
        <w:rPr>
          <w:rFonts w:cs="Arial"/>
          <w:b/>
          <w:bCs/>
          <w:sz w:val="28"/>
          <w:szCs w:val="28"/>
        </w:rPr>
      </w:pPr>
    </w:p>
    <w:p w14:paraId="3C34E6A2" w14:textId="54809690" w:rsidR="004B30C0" w:rsidRDefault="004B30C0" w:rsidP="004B30C0">
      <w:pPr>
        <w:pStyle w:val="ListParagraph"/>
        <w:rPr>
          <w:rFonts w:cs="Arial"/>
          <w:b/>
          <w:bCs/>
          <w:sz w:val="28"/>
          <w:szCs w:val="28"/>
        </w:rPr>
      </w:pPr>
    </w:p>
    <w:p w14:paraId="641CF79D" w14:textId="4654320E" w:rsidR="004B30C0" w:rsidRDefault="004B30C0" w:rsidP="004B30C0">
      <w:pPr>
        <w:pStyle w:val="ListParagraph"/>
        <w:rPr>
          <w:rFonts w:cs="Arial"/>
          <w:b/>
          <w:bCs/>
          <w:sz w:val="28"/>
          <w:szCs w:val="28"/>
        </w:rPr>
      </w:pPr>
    </w:p>
    <w:p w14:paraId="27110BC5" w14:textId="53FD3F62" w:rsidR="004B30C0" w:rsidRDefault="004B30C0" w:rsidP="004B30C0">
      <w:pPr>
        <w:pStyle w:val="ListParagraph"/>
        <w:rPr>
          <w:rFonts w:cs="Arial"/>
          <w:b/>
          <w:bCs/>
          <w:sz w:val="28"/>
          <w:szCs w:val="28"/>
        </w:rPr>
      </w:pPr>
    </w:p>
    <w:p w14:paraId="357582FF" w14:textId="782F35CB" w:rsidR="004B30C0" w:rsidRDefault="004B30C0" w:rsidP="004B30C0">
      <w:pPr>
        <w:pStyle w:val="ListParagraph"/>
        <w:rPr>
          <w:rFonts w:cs="Arial"/>
          <w:b/>
          <w:bCs/>
          <w:sz w:val="28"/>
          <w:szCs w:val="28"/>
        </w:rPr>
      </w:pPr>
    </w:p>
    <w:p w14:paraId="462F9FB0" w14:textId="2C0DEEFE" w:rsidR="004B30C0" w:rsidRDefault="004B30C0" w:rsidP="004B30C0">
      <w:pPr>
        <w:pStyle w:val="ListParagraph"/>
        <w:rPr>
          <w:rFonts w:cs="Arial"/>
          <w:b/>
          <w:bCs/>
          <w:sz w:val="28"/>
          <w:szCs w:val="28"/>
        </w:rPr>
      </w:pPr>
    </w:p>
    <w:p w14:paraId="2D9647C3" w14:textId="794BD43C" w:rsidR="004B30C0" w:rsidRDefault="004B30C0" w:rsidP="004B30C0">
      <w:pPr>
        <w:pStyle w:val="ListParagraph"/>
        <w:rPr>
          <w:rFonts w:cs="Arial"/>
          <w:b/>
          <w:bCs/>
          <w:sz w:val="28"/>
          <w:szCs w:val="28"/>
        </w:rPr>
      </w:pPr>
    </w:p>
    <w:p w14:paraId="6D19FE2D" w14:textId="77777777" w:rsidR="004B30C0" w:rsidRDefault="004B30C0" w:rsidP="004B30C0">
      <w:pPr>
        <w:pStyle w:val="ListParagraph"/>
        <w:rPr>
          <w:rFonts w:cs="Arial"/>
          <w:b/>
          <w:bCs/>
          <w:sz w:val="28"/>
          <w:szCs w:val="28"/>
        </w:rPr>
      </w:pPr>
    </w:p>
    <w:p w14:paraId="6500EFA6" w14:textId="77777777" w:rsidR="004B30C0" w:rsidRDefault="004B30C0" w:rsidP="004B30C0">
      <w:pPr>
        <w:jc w:val="center"/>
        <w:rPr>
          <w:rFonts w:cs="Arial"/>
          <w:b/>
          <w:bCs/>
          <w:szCs w:val="24"/>
        </w:rPr>
      </w:pPr>
    </w:p>
    <w:p w14:paraId="6FF6B1EE" w14:textId="77777777" w:rsidR="004B30C0" w:rsidRPr="004B30C0" w:rsidRDefault="004B30C0" w:rsidP="004B30C0">
      <w:pPr>
        <w:pStyle w:val="Heading1"/>
        <w:rPr>
          <w:rFonts w:ascii="Arial" w:hAnsi="Arial" w:cs="Arial"/>
          <w:b/>
          <w:color w:val="auto"/>
          <w:sz w:val="28"/>
          <w:szCs w:val="28"/>
        </w:rPr>
      </w:pPr>
      <w:bookmarkStart w:id="0" w:name="_Introduction"/>
      <w:bookmarkEnd w:id="0"/>
      <w:r w:rsidRPr="004B30C0">
        <w:rPr>
          <w:rFonts w:ascii="Arial" w:hAnsi="Arial" w:cs="Arial"/>
          <w:b/>
          <w:color w:val="auto"/>
          <w:sz w:val="28"/>
          <w:szCs w:val="28"/>
        </w:rPr>
        <w:lastRenderedPageBreak/>
        <w:t>Introduction</w:t>
      </w:r>
    </w:p>
    <w:p w14:paraId="6614F69D" w14:textId="3814104D" w:rsidR="004B30C0" w:rsidRPr="000D1595" w:rsidRDefault="004B30C0" w:rsidP="004B30C0">
      <w:pPr>
        <w:spacing w:before="240"/>
        <w:rPr>
          <w:rFonts w:cs="Arial"/>
          <w:b/>
          <w:bCs/>
        </w:rPr>
      </w:pPr>
      <w:r w:rsidRPr="000D1595">
        <w:rPr>
          <w:rFonts w:cs="Arial"/>
          <w:b/>
          <w:bCs/>
        </w:rPr>
        <w:t>About th</w:t>
      </w:r>
      <w:r w:rsidR="008A7902">
        <w:rPr>
          <w:rFonts w:cs="Arial"/>
          <w:b/>
          <w:bCs/>
        </w:rPr>
        <w:t>e Nuffield Council on Bioethics</w:t>
      </w:r>
      <w:r w:rsidRPr="000D1595">
        <w:rPr>
          <w:rFonts w:cs="Arial"/>
          <w:b/>
          <w:bCs/>
        </w:rPr>
        <w:t xml:space="preserve"> </w:t>
      </w:r>
    </w:p>
    <w:p w14:paraId="585B68E0" w14:textId="7889FF25" w:rsidR="008A7902" w:rsidRDefault="004B30C0" w:rsidP="004B30C0">
      <w:pPr>
        <w:rPr>
          <w:rFonts w:cs="Arial"/>
        </w:rPr>
      </w:pPr>
      <w:r>
        <w:rPr>
          <w:rFonts w:cs="Arial"/>
        </w:rPr>
        <w:t>The Nuffield Council on Bioethics is an independent body that examines and advises on ethical issues arising from developments in bioscience and health. We aim to inform policy and public debate through timely consideration of the ethical questions raised by biological and medical research so that the benefits to society are realised in a way that is consistent with public values.</w:t>
      </w:r>
    </w:p>
    <w:p w14:paraId="610E2773" w14:textId="32E92235" w:rsidR="00D45319" w:rsidRDefault="00D45319" w:rsidP="004B30C0">
      <w:pPr>
        <w:rPr>
          <w:rFonts w:cs="Arial"/>
        </w:rPr>
      </w:pPr>
      <w:r w:rsidRPr="1BEA4369">
        <w:rPr>
          <w:rFonts w:cs="Arial"/>
        </w:rPr>
        <w:t>In late 2019, the Nuffield Council</w:t>
      </w:r>
      <w:r w:rsidR="00621391" w:rsidRPr="1BEA4369">
        <w:rPr>
          <w:rFonts w:cs="Arial"/>
        </w:rPr>
        <w:t xml:space="preserve"> on</w:t>
      </w:r>
      <w:r w:rsidRPr="1BEA4369">
        <w:rPr>
          <w:rFonts w:cs="Arial"/>
        </w:rPr>
        <w:t xml:space="preserve"> Bioethics held a series of exploratory meetings with people</w:t>
      </w:r>
      <w:r w:rsidR="00DA3446">
        <w:rPr>
          <w:rFonts w:cs="Arial"/>
        </w:rPr>
        <w:t xml:space="preserve"> and </w:t>
      </w:r>
      <w:r w:rsidRPr="1BEA4369">
        <w:rPr>
          <w:rFonts w:cs="Arial"/>
        </w:rPr>
        <w:t>representatives of people with experience of gender identity services, medical practitioners, academics,</w:t>
      </w:r>
      <w:r w:rsidR="00621391" w:rsidRPr="1BEA4369">
        <w:rPr>
          <w:rFonts w:cs="Arial"/>
        </w:rPr>
        <w:t xml:space="preserve"> and </w:t>
      </w:r>
      <w:r w:rsidRPr="1BEA4369">
        <w:rPr>
          <w:rFonts w:cs="Arial"/>
        </w:rPr>
        <w:t xml:space="preserve">researchers to understand the ethical challenges in the </w:t>
      </w:r>
      <w:hyperlink r:id="rId12">
        <w:r w:rsidRPr="1BEA4369">
          <w:rPr>
            <w:rStyle w:val="Hyperlink"/>
            <w:rFonts w:cs="Arial"/>
          </w:rPr>
          <w:t>care and treatment of young people in relation to their gender identity</w:t>
        </w:r>
      </w:hyperlink>
      <w:r w:rsidRPr="1BEA4369">
        <w:rPr>
          <w:rFonts w:cs="Arial"/>
        </w:rPr>
        <w:t xml:space="preserve">. This exploratory work raised a number of </w:t>
      </w:r>
      <w:r w:rsidR="00B026D9">
        <w:rPr>
          <w:rFonts w:cs="Arial"/>
        </w:rPr>
        <w:t xml:space="preserve">ethical </w:t>
      </w:r>
      <w:r w:rsidRPr="1BEA4369">
        <w:rPr>
          <w:rFonts w:cs="Arial"/>
        </w:rPr>
        <w:t>issues about how gender diverse</w:t>
      </w:r>
      <w:r w:rsidR="008425DD" w:rsidRPr="1BEA4369">
        <w:rPr>
          <w:rFonts w:cs="Arial"/>
        </w:rPr>
        <w:t xml:space="preserve"> and gender incongruent</w:t>
      </w:r>
      <w:r w:rsidRPr="1BEA4369">
        <w:rPr>
          <w:rFonts w:cs="Arial"/>
        </w:rPr>
        <w:t xml:space="preserve"> children and adolescents under the age of 18 should be cared for</w:t>
      </w:r>
      <w:r w:rsidR="00621391" w:rsidRPr="1BEA4369">
        <w:rPr>
          <w:rFonts w:cs="Arial"/>
        </w:rPr>
        <w:t>,</w:t>
      </w:r>
      <w:r w:rsidRPr="1BEA4369">
        <w:rPr>
          <w:rFonts w:cs="Arial"/>
        </w:rPr>
        <w:t xml:space="preserve"> which we believe warrant more</w:t>
      </w:r>
      <w:r w:rsidR="00621391" w:rsidRPr="1BEA4369">
        <w:rPr>
          <w:rFonts w:cs="Arial"/>
        </w:rPr>
        <w:t xml:space="preserve"> </w:t>
      </w:r>
      <w:r w:rsidRPr="1BEA4369">
        <w:rPr>
          <w:rFonts w:cs="Arial"/>
        </w:rPr>
        <w:t>discussion and consideration.</w:t>
      </w:r>
    </w:p>
    <w:p w14:paraId="64BF2616" w14:textId="48927021" w:rsidR="006E2ECB" w:rsidRDefault="006E2ECB" w:rsidP="006E2ECB">
      <w:pPr>
        <w:spacing w:before="240"/>
        <w:rPr>
          <w:rFonts w:cs="Arial"/>
        </w:rPr>
      </w:pPr>
      <w:r w:rsidRPr="5BBA4C3C">
        <w:rPr>
          <w:rFonts w:cs="Arial"/>
        </w:rPr>
        <w:t xml:space="preserve">The aim of this project is to carry out a more in-depth review of some of </w:t>
      </w:r>
      <w:r w:rsidR="00B026D9">
        <w:rPr>
          <w:rFonts w:cs="Arial"/>
        </w:rPr>
        <w:t xml:space="preserve">those issues. </w:t>
      </w:r>
      <w:r w:rsidR="0084425F" w:rsidRPr="5BBA4C3C">
        <w:rPr>
          <w:rFonts w:cs="Arial"/>
        </w:rPr>
        <w:t xml:space="preserve">Our conclusions will </w:t>
      </w:r>
      <w:r w:rsidRPr="5BBA4C3C">
        <w:rPr>
          <w:rFonts w:cs="Arial"/>
        </w:rPr>
        <w:t xml:space="preserve">inform practitioners and policy-makers and, ultimately, </w:t>
      </w:r>
      <w:r w:rsidR="0084425F" w:rsidRPr="5BBA4C3C">
        <w:rPr>
          <w:rFonts w:cs="Arial"/>
        </w:rPr>
        <w:t xml:space="preserve">help </w:t>
      </w:r>
      <w:r w:rsidRPr="5BBA4C3C">
        <w:rPr>
          <w:rFonts w:cs="Arial"/>
        </w:rPr>
        <w:t xml:space="preserve">improve the well-being of gender diverse </w:t>
      </w:r>
      <w:r w:rsidR="008425DD" w:rsidRPr="5BBA4C3C">
        <w:rPr>
          <w:rFonts w:cs="Arial"/>
        </w:rPr>
        <w:t xml:space="preserve">and gender incongruent </w:t>
      </w:r>
      <w:r w:rsidRPr="5BBA4C3C">
        <w:rPr>
          <w:rFonts w:cs="Arial"/>
        </w:rPr>
        <w:t>children and adolescents by ensuring they receive ethical, appropriate, and high-quality care. We hope that, as the UK’s independent ethics body, we can make a valuable contribution to how these issues are discussed and considere</w:t>
      </w:r>
      <w:r w:rsidR="00621391" w:rsidRPr="5BBA4C3C">
        <w:rPr>
          <w:rFonts w:cs="Arial"/>
        </w:rPr>
        <w:t xml:space="preserve">d. </w:t>
      </w:r>
      <w:r w:rsidRPr="5BBA4C3C">
        <w:rPr>
          <w:rFonts w:cs="Arial"/>
        </w:rPr>
        <w:t xml:space="preserve"> </w:t>
      </w:r>
    </w:p>
    <w:p w14:paraId="4D45C851" w14:textId="154B90D9" w:rsidR="004B30C0" w:rsidRDefault="008A7902" w:rsidP="004B30C0">
      <w:pPr>
        <w:rPr>
          <w:rFonts w:cs="Arial"/>
        </w:rPr>
      </w:pPr>
      <w:r>
        <w:rPr>
          <w:rFonts w:cs="Arial"/>
          <w:b/>
          <w:bCs/>
        </w:rPr>
        <w:t xml:space="preserve">About this </w:t>
      </w:r>
      <w:r w:rsidRPr="000D1595">
        <w:rPr>
          <w:rFonts w:cs="Arial"/>
          <w:b/>
          <w:bCs/>
        </w:rPr>
        <w:t>call for evidence</w:t>
      </w:r>
      <w:r w:rsidR="004B30C0">
        <w:rPr>
          <w:rFonts w:cs="Arial"/>
        </w:rPr>
        <w:t xml:space="preserve"> </w:t>
      </w:r>
    </w:p>
    <w:p w14:paraId="5DAF1897" w14:textId="5D74D84A" w:rsidR="004B30C0" w:rsidRDefault="00D45319" w:rsidP="004B30C0">
      <w:pPr>
        <w:rPr>
          <w:rFonts w:cs="Arial"/>
        </w:rPr>
      </w:pPr>
      <w:r>
        <w:rPr>
          <w:rFonts w:cs="Arial"/>
        </w:rPr>
        <w:t xml:space="preserve">This call for evidence is an open call for views on some of the issues we want to explore in more detail, including: </w:t>
      </w:r>
    </w:p>
    <w:p w14:paraId="214F3F96" w14:textId="77777777" w:rsidR="004B30C0" w:rsidRPr="00F45E2C" w:rsidRDefault="004B30C0" w:rsidP="004B30C0">
      <w:pPr>
        <w:pStyle w:val="ListParagraph"/>
        <w:numPr>
          <w:ilvl w:val="0"/>
          <w:numId w:val="9"/>
        </w:numPr>
        <w:spacing w:after="160" w:line="259" w:lineRule="auto"/>
        <w:rPr>
          <w:rFonts w:cs="Arial"/>
        </w:rPr>
      </w:pPr>
      <w:r w:rsidRPr="00F45E2C">
        <w:rPr>
          <w:rFonts w:cs="Arial"/>
        </w:rPr>
        <w:t xml:space="preserve">the nature of gender dysphoria and how this affects </w:t>
      </w:r>
      <w:r>
        <w:rPr>
          <w:rFonts w:cs="Arial"/>
        </w:rPr>
        <w:t>approaches</w:t>
      </w:r>
      <w:r w:rsidRPr="00F45E2C">
        <w:rPr>
          <w:rFonts w:cs="Arial"/>
        </w:rPr>
        <w:t xml:space="preserve"> </w:t>
      </w:r>
      <w:r>
        <w:rPr>
          <w:rFonts w:cs="Arial"/>
        </w:rPr>
        <w:t>to</w:t>
      </w:r>
      <w:r w:rsidRPr="00F45E2C">
        <w:rPr>
          <w:rFonts w:cs="Arial"/>
        </w:rPr>
        <w:t xml:space="preserve"> care and treatment;</w:t>
      </w:r>
    </w:p>
    <w:p w14:paraId="78471217" w14:textId="77777777" w:rsidR="004B30C0" w:rsidRPr="00F45E2C" w:rsidRDefault="004B30C0" w:rsidP="004B30C0">
      <w:pPr>
        <w:pStyle w:val="ListParagraph"/>
        <w:numPr>
          <w:ilvl w:val="0"/>
          <w:numId w:val="9"/>
        </w:numPr>
        <w:spacing w:after="160" w:line="259" w:lineRule="auto"/>
        <w:rPr>
          <w:rFonts w:cs="Arial"/>
        </w:rPr>
      </w:pPr>
      <w:r w:rsidRPr="00F45E2C">
        <w:rPr>
          <w:rFonts w:cs="Arial"/>
        </w:rPr>
        <w:t xml:space="preserve">the social context within which gender dysphoria exists; </w:t>
      </w:r>
    </w:p>
    <w:p w14:paraId="598DE9D3" w14:textId="3434F6A6" w:rsidR="004B30C0" w:rsidRPr="00F45E2C" w:rsidRDefault="004B30C0" w:rsidP="004B30C0">
      <w:pPr>
        <w:pStyle w:val="ListParagraph"/>
        <w:numPr>
          <w:ilvl w:val="0"/>
          <w:numId w:val="9"/>
        </w:numPr>
        <w:spacing w:after="160" w:line="259" w:lineRule="auto"/>
        <w:rPr>
          <w:rFonts w:cs="Arial"/>
        </w:rPr>
      </w:pPr>
      <w:r w:rsidRPr="739CBA11">
        <w:rPr>
          <w:rFonts w:cs="Arial"/>
        </w:rPr>
        <w:t>whether</w:t>
      </w:r>
      <w:r w:rsidR="005C0161" w:rsidRPr="739CBA11">
        <w:rPr>
          <w:rFonts w:cs="Arial"/>
        </w:rPr>
        <w:t xml:space="preserve"> there is adequate</w:t>
      </w:r>
      <w:r w:rsidRPr="739CBA11">
        <w:rPr>
          <w:rFonts w:cs="Arial"/>
        </w:rPr>
        <w:t xml:space="preserve"> evidence on the</w:t>
      </w:r>
      <w:r w:rsidR="005C0161" w:rsidRPr="739CBA11">
        <w:rPr>
          <w:rFonts w:cs="Arial"/>
        </w:rPr>
        <w:t xml:space="preserve"> safety and effectiveness </w:t>
      </w:r>
      <w:r w:rsidRPr="739CBA11">
        <w:rPr>
          <w:rFonts w:cs="Arial"/>
        </w:rPr>
        <w:t>of puberty</w:t>
      </w:r>
      <w:r w:rsidR="008425DD" w:rsidRPr="739CBA11">
        <w:rPr>
          <w:rFonts w:cs="Arial"/>
        </w:rPr>
        <w:t xml:space="preserve"> blockers</w:t>
      </w:r>
      <w:r w:rsidRPr="739CBA11">
        <w:rPr>
          <w:rFonts w:cs="Arial"/>
        </w:rPr>
        <w:t xml:space="preserve"> and cross-sex hormones</w:t>
      </w:r>
      <w:r w:rsidR="005C0161" w:rsidRPr="739CBA11">
        <w:rPr>
          <w:rFonts w:cs="Arial"/>
        </w:rPr>
        <w:t xml:space="preserve"> to </w:t>
      </w:r>
      <w:r w:rsidR="00B026D9">
        <w:rPr>
          <w:rFonts w:cs="Arial"/>
        </w:rPr>
        <w:t>support</w:t>
      </w:r>
      <w:r w:rsidR="005C0161" w:rsidRPr="739CBA11">
        <w:rPr>
          <w:rFonts w:cs="Arial"/>
        </w:rPr>
        <w:t xml:space="preserve"> treatment;</w:t>
      </w:r>
      <w:r w:rsidRPr="739CBA11">
        <w:rPr>
          <w:rFonts w:cs="Arial"/>
        </w:rPr>
        <w:t xml:space="preserve"> </w:t>
      </w:r>
    </w:p>
    <w:p w14:paraId="34502C07" w14:textId="62D6AB71" w:rsidR="004B30C0" w:rsidRPr="00FC78DF" w:rsidRDefault="004B30C0" w:rsidP="004B30C0">
      <w:pPr>
        <w:pStyle w:val="ListParagraph"/>
        <w:numPr>
          <w:ilvl w:val="0"/>
          <w:numId w:val="9"/>
        </w:numPr>
        <w:spacing w:after="160" w:line="259" w:lineRule="auto"/>
        <w:rPr>
          <w:rFonts w:cs="Arial"/>
        </w:rPr>
      </w:pPr>
      <w:r w:rsidRPr="1BEA4369">
        <w:rPr>
          <w:rFonts w:cs="Arial"/>
        </w:rPr>
        <w:t xml:space="preserve">current approaches to care and treatment, including the purpose of puberty </w:t>
      </w:r>
      <w:r w:rsidR="008425DD" w:rsidRPr="1BEA4369">
        <w:rPr>
          <w:rFonts w:cs="Arial"/>
        </w:rPr>
        <w:t>blockers</w:t>
      </w:r>
      <w:r w:rsidRPr="1BEA4369">
        <w:rPr>
          <w:rFonts w:cs="Arial"/>
        </w:rPr>
        <w:t xml:space="preserve">, </w:t>
      </w:r>
      <w:r w:rsidR="008A7902" w:rsidRPr="1BEA4369">
        <w:rPr>
          <w:rFonts w:cs="Arial"/>
        </w:rPr>
        <w:t xml:space="preserve">the </w:t>
      </w:r>
      <w:r w:rsidRPr="1BEA4369">
        <w:rPr>
          <w:rFonts w:cs="Arial"/>
        </w:rPr>
        <w:t xml:space="preserve">gender affirmative approach, </w:t>
      </w:r>
      <w:r w:rsidR="008A7902" w:rsidRPr="1BEA4369">
        <w:rPr>
          <w:rFonts w:cs="Arial"/>
        </w:rPr>
        <w:t xml:space="preserve">and </w:t>
      </w:r>
      <w:r w:rsidRPr="1BEA4369">
        <w:rPr>
          <w:rFonts w:cs="Arial"/>
        </w:rPr>
        <w:t>social transition</w:t>
      </w:r>
      <w:r w:rsidR="008A7902" w:rsidRPr="1BEA4369">
        <w:rPr>
          <w:rFonts w:cs="Arial"/>
        </w:rPr>
        <w:t>;</w:t>
      </w:r>
    </w:p>
    <w:p w14:paraId="02B5E35C" w14:textId="0F22BD6F" w:rsidR="004B30C0" w:rsidRPr="00FC78DF" w:rsidRDefault="004B30C0" w:rsidP="004B30C0">
      <w:pPr>
        <w:pStyle w:val="ListParagraph"/>
        <w:numPr>
          <w:ilvl w:val="0"/>
          <w:numId w:val="9"/>
        </w:numPr>
        <w:spacing w:after="160" w:line="259" w:lineRule="auto"/>
        <w:rPr>
          <w:rFonts w:cs="Arial"/>
        </w:rPr>
      </w:pPr>
      <w:r w:rsidRPr="4D73643E">
        <w:rPr>
          <w:rFonts w:cs="Arial"/>
        </w:rPr>
        <w:t xml:space="preserve">how to </w:t>
      </w:r>
      <w:r w:rsidR="20020365" w:rsidRPr="4D73643E">
        <w:rPr>
          <w:rFonts w:cs="Arial"/>
        </w:rPr>
        <w:t xml:space="preserve">consider </w:t>
      </w:r>
      <w:r w:rsidR="00621391" w:rsidRPr="4D73643E">
        <w:rPr>
          <w:rFonts w:cs="Arial"/>
        </w:rPr>
        <w:t xml:space="preserve">the </w:t>
      </w:r>
      <w:r w:rsidRPr="4D73643E">
        <w:rPr>
          <w:rFonts w:cs="Arial"/>
        </w:rPr>
        <w:t>benefit</w:t>
      </w:r>
      <w:r w:rsidR="00621391" w:rsidRPr="4D73643E">
        <w:rPr>
          <w:rFonts w:cs="Arial"/>
        </w:rPr>
        <w:t>s</w:t>
      </w:r>
      <w:r w:rsidRPr="4D73643E">
        <w:rPr>
          <w:rFonts w:cs="Arial"/>
        </w:rPr>
        <w:t xml:space="preserve"> and harm</w:t>
      </w:r>
      <w:r w:rsidR="00621391" w:rsidRPr="4D73643E">
        <w:rPr>
          <w:rFonts w:cs="Arial"/>
        </w:rPr>
        <w:t>s of treatment and non-treatment</w:t>
      </w:r>
      <w:r w:rsidRPr="4D73643E">
        <w:rPr>
          <w:rFonts w:cs="Arial"/>
        </w:rPr>
        <w:t xml:space="preserve"> in decision-making; and</w:t>
      </w:r>
    </w:p>
    <w:p w14:paraId="16DFF998" w14:textId="64A4056C" w:rsidR="004B30C0" w:rsidRPr="00F45E2C" w:rsidRDefault="004B30C0" w:rsidP="004B30C0">
      <w:pPr>
        <w:pStyle w:val="ListParagraph"/>
        <w:numPr>
          <w:ilvl w:val="0"/>
          <w:numId w:val="9"/>
        </w:numPr>
        <w:spacing w:after="160" w:line="259" w:lineRule="auto"/>
        <w:rPr>
          <w:rFonts w:cs="Arial"/>
        </w:rPr>
      </w:pPr>
      <w:r w:rsidRPr="00F45E2C">
        <w:rPr>
          <w:rFonts w:cs="Arial"/>
        </w:rPr>
        <w:t xml:space="preserve">the ability of children and </w:t>
      </w:r>
      <w:r w:rsidR="00621391">
        <w:rPr>
          <w:rFonts w:cs="Arial"/>
        </w:rPr>
        <w:t>adolescents</w:t>
      </w:r>
      <w:r w:rsidRPr="00F45E2C">
        <w:rPr>
          <w:rFonts w:cs="Arial"/>
        </w:rPr>
        <w:t xml:space="preserve"> to consent to medical interventions for gender dysphoria.  </w:t>
      </w:r>
    </w:p>
    <w:p w14:paraId="078C40E2" w14:textId="3BC9A993" w:rsidR="006E2ECB" w:rsidRDefault="004B30C0" w:rsidP="004B30C0">
      <w:pPr>
        <w:rPr>
          <w:rFonts w:cs="Arial"/>
        </w:rPr>
      </w:pPr>
      <w:r w:rsidRPr="5BBA4C3C">
        <w:rPr>
          <w:rFonts w:cs="Arial"/>
        </w:rPr>
        <w:t xml:space="preserve">This </w:t>
      </w:r>
      <w:r w:rsidR="00D45319" w:rsidRPr="5BBA4C3C">
        <w:rPr>
          <w:rFonts w:cs="Arial"/>
        </w:rPr>
        <w:t>call for evidence</w:t>
      </w:r>
      <w:r w:rsidRPr="5BBA4C3C">
        <w:rPr>
          <w:rFonts w:cs="Arial"/>
        </w:rPr>
        <w:t xml:space="preserve"> is not concerned with the wider gender identity debate as it relates to questions of self-identification, </w:t>
      </w:r>
      <w:r w:rsidR="5B038784" w:rsidRPr="5BBA4C3C">
        <w:rPr>
          <w:rFonts w:cs="Arial"/>
        </w:rPr>
        <w:t>n</w:t>
      </w:r>
      <w:r w:rsidRPr="5BBA4C3C">
        <w:rPr>
          <w:rFonts w:cs="Arial"/>
        </w:rPr>
        <w:t>or issues about</w:t>
      </w:r>
      <w:r w:rsidR="00621391" w:rsidRPr="5BBA4C3C">
        <w:rPr>
          <w:rFonts w:cs="Arial"/>
        </w:rPr>
        <w:t xml:space="preserve"> the</w:t>
      </w:r>
      <w:r w:rsidRPr="5BBA4C3C">
        <w:rPr>
          <w:rFonts w:cs="Arial"/>
        </w:rPr>
        <w:t xml:space="preserve"> care and treatment of young adults/adults aged 18 and over.</w:t>
      </w:r>
      <w:r w:rsidR="00FB118B">
        <w:rPr>
          <w:rFonts w:cs="Arial"/>
        </w:rPr>
        <w:t xml:space="preserve"> </w:t>
      </w:r>
      <w:r w:rsidR="00FB118B" w:rsidRPr="00B3539D">
        <w:rPr>
          <w:rFonts w:cs="Arial"/>
        </w:rPr>
        <w:t xml:space="preserve">A review of the current provision of gender </w:t>
      </w:r>
      <w:r w:rsidR="00FB118B" w:rsidRPr="00B3539D">
        <w:rPr>
          <w:rFonts w:cs="Arial"/>
        </w:rPr>
        <w:lastRenderedPageBreak/>
        <w:t>identity services</w:t>
      </w:r>
      <w:r w:rsidR="00B026D9">
        <w:rPr>
          <w:rFonts w:cs="Arial"/>
        </w:rPr>
        <w:t xml:space="preserve"> for children and young people</w:t>
      </w:r>
      <w:r w:rsidR="00FB118B" w:rsidRPr="00B3539D">
        <w:rPr>
          <w:rFonts w:cs="Arial"/>
        </w:rPr>
        <w:t xml:space="preserve"> is the subject of a separate independent review commissioned by NHS England.</w:t>
      </w:r>
    </w:p>
    <w:p w14:paraId="1E3CE3F3" w14:textId="77777777" w:rsidR="004B30C0" w:rsidRPr="000D1595" w:rsidRDefault="004B30C0" w:rsidP="004B30C0">
      <w:pPr>
        <w:spacing w:before="240"/>
        <w:rPr>
          <w:rFonts w:cs="Arial"/>
          <w:b/>
          <w:bCs/>
        </w:rPr>
      </w:pPr>
      <w:r>
        <w:rPr>
          <w:rFonts w:cs="Arial"/>
          <w:b/>
          <w:bCs/>
        </w:rPr>
        <w:t xml:space="preserve">Who we want to hear from </w:t>
      </w:r>
    </w:p>
    <w:p w14:paraId="76C1752C" w14:textId="38F09583" w:rsidR="006E2ECB" w:rsidRDefault="006E2ECB" w:rsidP="004B30C0">
      <w:pPr>
        <w:rPr>
          <w:rFonts w:cs="Arial"/>
        </w:rPr>
      </w:pPr>
      <w:r w:rsidRPr="1F033467">
        <w:rPr>
          <w:rFonts w:cs="Arial"/>
        </w:rPr>
        <w:t xml:space="preserve">We would like to hear from as many people and organisations as possible who have an interest in the care and treatment of children and adolescents in relation to their gender identity, and this call for evidence is open to anyone who wishes to respond. In particular, we would like to hear from anyone with personal experience of </w:t>
      </w:r>
      <w:r w:rsidR="250CF744" w:rsidRPr="1F033467">
        <w:rPr>
          <w:rFonts w:cs="Arial"/>
        </w:rPr>
        <w:t xml:space="preserve">using </w:t>
      </w:r>
      <w:r w:rsidRPr="1F033467">
        <w:rPr>
          <w:rFonts w:cs="Arial"/>
        </w:rPr>
        <w:t xml:space="preserve">gender identity services or supporting someone to use those services. </w:t>
      </w:r>
    </w:p>
    <w:p w14:paraId="5EB9E62D" w14:textId="27CB1B8D" w:rsidR="006E2ECB" w:rsidRDefault="006E2ECB" w:rsidP="004B30C0">
      <w:pPr>
        <w:rPr>
          <w:rFonts w:cs="Arial"/>
        </w:rPr>
      </w:pPr>
      <w:r w:rsidRPr="79F9F22E">
        <w:rPr>
          <w:rFonts w:cs="Arial"/>
        </w:rPr>
        <w:t xml:space="preserve">The responses to this call for evidence will form an important step in our evidence gathering and play a </w:t>
      </w:r>
      <w:r w:rsidR="375CFE8B" w:rsidRPr="79F9F22E">
        <w:rPr>
          <w:rFonts w:cs="Arial"/>
        </w:rPr>
        <w:t xml:space="preserve">significant </w:t>
      </w:r>
      <w:r w:rsidRPr="79F9F22E">
        <w:rPr>
          <w:rFonts w:cs="Arial"/>
        </w:rPr>
        <w:t>role in influencing th</w:t>
      </w:r>
      <w:r w:rsidR="00B026D9">
        <w:rPr>
          <w:rFonts w:cs="Arial"/>
        </w:rPr>
        <w:t>is</w:t>
      </w:r>
      <w:r w:rsidRPr="79F9F22E">
        <w:rPr>
          <w:rFonts w:cs="Arial"/>
        </w:rPr>
        <w:t xml:space="preserve"> project and its final conclusions. </w:t>
      </w:r>
      <w:r w:rsidR="71958651" w:rsidRPr="79F9F22E">
        <w:rPr>
          <w:rFonts w:cs="Arial"/>
        </w:rPr>
        <w:t>W</w:t>
      </w:r>
      <w:r w:rsidRPr="79F9F22E">
        <w:rPr>
          <w:rFonts w:cs="Arial"/>
        </w:rPr>
        <w:t xml:space="preserve">e will </w:t>
      </w:r>
      <w:r w:rsidR="793A9500" w:rsidRPr="79F9F22E">
        <w:rPr>
          <w:rFonts w:cs="Arial"/>
        </w:rPr>
        <w:t xml:space="preserve">also </w:t>
      </w:r>
      <w:r w:rsidRPr="79F9F22E">
        <w:rPr>
          <w:rFonts w:cs="Arial"/>
        </w:rPr>
        <w:t>be undertaking a number of other evidence</w:t>
      </w:r>
      <w:r w:rsidR="242FB8B6" w:rsidRPr="79F9F22E">
        <w:rPr>
          <w:rFonts w:cs="Arial"/>
        </w:rPr>
        <w:t>-</w:t>
      </w:r>
      <w:r w:rsidRPr="79F9F22E">
        <w:rPr>
          <w:rFonts w:cs="Arial"/>
        </w:rPr>
        <w:t>gathering exercises to ensure we hear from a diverse range of people. Please contact us</w:t>
      </w:r>
      <w:r w:rsidR="00DF73A8">
        <w:rPr>
          <w:rFonts w:cs="Arial"/>
        </w:rPr>
        <w:t xml:space="preserve"> by emailing </w:t>
      </w:r>
      <w:hyperlink r:id="rId13" w:history="1">
        <w:r w:rsidR="00DF73A8" w:rsidRPr="009B1056">
          <w:rPr>
            <w:rStyle w:val="Hyperlink"/>
            <w:rFonts w:cs="Arial"/>
          </w:rPr>
          <w:t>gender@nuffieldbioethics.org</w:t>
        </w:r>
      </w:hyperlink>
      <w:r w:rsidR="00DF73A8">
        <w:rPr>
          <w:rFonts w:cs="Arial"/>
        </w:rPr>
        <w:t xml:space="preserve"> </w:t>
      </w:r>
      <w:r w:rsidRPr="79F9F22E">
        <w:rPr>
          <w:rFonts w:cs="Arial"/>
        </w:rPr>
        <w:t xml:space="preserve">if you would like to be involved </w:t>
      </w:r>
      <w:r w:rsidR="00B026D9">
        <w:rPr>
          <w:rFonts w:cs="Arial"/>
        </w:rPr>
        <w:t>in</w:t>
      </w:r>
      <w:r w:rsidRPr="79F9F22E">
        <w:rPr>
          <w:rFonts w:cs="Arial"/>
        </w:rPr>
        <w:t xml:space="preserve"> any further opportunities to contribute, or to alert us to other people or organisations who may be interested in this </w:t>
      </w:r>
      <w:r w:rsidR="00B026D9">
        <w:rPr>
          <w:rFonts w:cs="Arial"/>
        </w:rPr>
        <w:t xml:space="preserve">work. </w:t>
      </w:r>
      <w:r w:rsidRPr="79F9F22E">
        <w:rPr>
          <w:rFonts w:cs="Arial"/>
        </w:rPr>
        <w:t xml:space="preserve"> </w:t>
      </w:r>
    </w:p>
    <w:p w14:paraId="4119E020" w14:textId="77777777" w:rsidR="004B30C0" w:rsidRDefault="004B30C0" w:rsidP="004B30C0">
      <w:pPr>
        <w:rPr>
          <w:rFonts w:cs="Arial"/>
          <w:b/>
          <w:bCs/>
        </w:rPr>
      </w:pPr>
      <w:r>
        <w:rPr>
          <w:rFonts w:cs="Arial"/>
          <w:b/>
          <w:bCs/>
        </w:rPr>
        <w:t>How to respond</w:t>
      </w:r>
    </w:p>
    <w:p w14:paraId="18B80F82" w14:textId="04A26069" w:rsidR="004B30C0" w:rsidRDefault="004B30C0" w:rsidP="004B30C0">
      <w:pPr>
        <w:rPr>
          <w:rFonts w:cs="Arial"/>
        </w:rPr>
      </w:pPr>
      <w:r w:rsidRPr="0C8F09DC">
        <w:rPr>
          <w:rFonts w:cs="Arial"/>
        </w:rPr>
        <w:t xml:space="preserve">Please complete and return the attached form to </w:t>
      </w:r>
      <w:hyperlink r:id="rId14">
        <w:r w:rsidRPr="00FB118B">
          <w:rPr>
            <w:rStyle w:val="Hyperlink"/>
            <w:rFonts w:cs="Arial"/>
          </w:rPr>
          <w:t>gender@nuffieldbioethics.org</w:t>
        </w:r>
      </w:hyperlink>
      <w:r w:rsidRPr="0C8F09DC">
        <w:rPr>
          <w:rFonts w:cs="Arial"/>
        </w:rPr>
        <w:t xml:space="preserve"> by </w:t>
      </w:r>
      <w:r w:rsidR="00B026D9">
        <w:rPr>
          <w:rFonts w:cs="Arial"/>
          <w:b/>
          <w:bCs/>
        </w:rPr>
        <w:t>Friday 14 May 2021</w:t>
      </w:r>
      <w:r w:rsidRPr="0C8F09DC">
        <w:rPr>
          <w:rFonts w:cs="Arial"/>
        </w:rPr>
        <w:t xml:space="preserve">. </w:t>
      </w:r>
      <w:r w:rsidR="00E4680F" w:rsidRPr="0C8F09DC">
        <w:rPr>
          <w:rFonts w:cs="Arial"/>
        </w:rPr>
        <w:t xml:space="preserve">Responses will be handled confidentially, and we will </w:t>
      </w:r>
      <w:r w:rsidR="00E4680F" w:rsidRPr="0C8F09DC">
        <w:rPr>
          <w:rFonts w:cs="Arial"/>
          <w:b/>
          <w:bCs/>
        </w:rPr>
        <w:t>not</w:t>
      </w:r>
      <w:r w:rsidR="00E4680F" w:rsidRPr="0C8F09DC">
        <w:rPr>
          <w:rFonts w:cs="Arial"/>
        </w:rPr>
        <w:t xml:space="preserve"> publish your name without express permission.</w:t>
      </w:r>
    </w:p>
    <w:p w14:paraId="6837A692" w14:textId="7E07378D" w:rsidR="004B30C0" w:rsidRDefault="004B30C0" w:rsidP="004B30C0">
      <w:pPr>
        <w:rPr>
          <w:rFonts w:cs="Arial"/>
        </w:rPr>
      </w:pPr>
      <w:r w:rsidRPr="5BBA4C3C">
        <w:rPr>
          <w:rFonts w:cs="Arial"/>
        </w:rPr>
        <w:t xml:space="preserve">We have </w:t>
      </w:r>
      <w:r w:rsidR="1E3659D5" w:rsidRPr="5BBA4C3C">
        <w:rPr>
          <w:rFonts w:cs="Arial"/>
        </w:rPr>
        <w:t>outlined</w:t>
      </w:r>
      <w:r w:rsidRPr="5BBA4C3C">
        <w:rPr>
          <w:rFonts w:cs="Arial"/>
        </w:rPr>
        <w:t xml:space="preserve"> questions grouped</w:t>
      </w:r>
      <w:r w:rsidR="00D45319" w:rsidRPr="5BBA4C3C">
        <w:rPr>
          <w:rFonts w:cs="Arial"/>
        </w:rPr>
        <w:t xml:space="preserve"> under six key themes</w:t>
      </w:r>
      <w:r w:rsidR="00B026D9">
        <w:rPr>
          <w:rFonts w:cs="Arial"/>
        </w:rPr>
        <w:t>, alongside a very brief overview of some of the views expressed in the literature</w:t>
      </w:r>
      <w:r w:rsidR="00D45319" w:rsidRPr="5BBA4C3C">
        <w:rPr>
          <w:rFonts w:cs="Arial"/>
        </w:rPr>
        <w:t>. You are welcome to respond to as many, or as few, of the questions as you wish</w:t>
      </w:r>
      <w:r w:rsidR="00621391" w:rsidRPr="5BBA4C3C">
        <w:rPr>
          <w:rFonts w:cs="Arial"/>
        </w:rPr>
        <w:t>. You will have the opportunity to comment on any other relevant issues you wo</w:t>
      </w:r>
      <w:r w:rsidR="00D45319" w:rsidRPr="5BBA4C3C">
        <w:rPr>
          <w:rFonts w:cs="Arial"/>
        </w:rPr>
        <w:t xml:space="preserve">uld like to draw to the attention of the </w:t>
      </w:r>
      <w:r w:rsidR="00FB118B">
        <w:rPr>
          <w:rFonts w:cs="Arial"/>
        </w:rPr>
        <w:t>Council</w:t>
      </w:r>
      <w:r w:rsidR="00D45319" w:rsidRPr="5BBA4C3C">
        <w:rPr>
          <w:rFonts w:cs="Arial"/>
        </w:rPr>
        <w:t xml:space="preserve"> in the final open-ended section. </w:t>
      </w:r>
    </w:p>
    <w:tbl>
      <w:tblPr>
        <w:tblStyle w:val="TableGrid"/>
        <w:tblW w:w="0" w:type="auto"/>
        <w:tblLook w:val="04A0" w:firstRow="1" w:lastRow="0" w:firstColumn="1" w:lastColumn="0" w:noHBand="0" w:noVBand="1"/>
      </w:tblPr>
      <w:tblGrid>
        <w:gridCol w:w="9016"/>
      </w:tblGrid>
      <w:tr w:rsidR="004B30C0" w14:paraId="65114A18" w14:textId="77777777" w:rsidTr="1BEA4369">
        <w:tc>
          <w:tcPr>
            <w:tcW w:w="9016" w:type="dxa"/>
            <w:tcBorders>
              <w:top w:val="nil"/>
              <w:left w:val="nil"/>
              <w:bottom w:val="nil"/>
              <w:right w:val="nil"/>
            </w:tcBorders>
            <w:shd w:val="clear" w:color="auto" w:fill="DEEAF6" w:themeFill="accent5" w:themeFillTint="33"/>
          </w:tcPr>
          <w:p w14:paraId="39FE1FA8" w14:textId="4A6DC4E3" w:rsidR="004B30C0" w:rsidRPr="00B72824" w:rsidRDefault="004B30C0" w:rsidP="004B30C0">
            <w:pPr>
              <w:spacing w:before="240"/>
            </w:pPr>
            <w:r w:rsidRPr="1BEA4369">
              <w:rPr>
                <w:b/>
                <w:bCs/>
              </w:rPr>
              <w:t xml:space="preserve">A note on terminology: </w:t>
            </w:r>
            <w:r>
              <w:t xml:space="preserve">We recognise that the language used in this </w:t>
            </w:r>
            <w:r w:rsidR="6CDC76FF">
              <w:t>area</w:t>
            </w:r>
            <w:r>
              <w:t xml:space="preserve"> is complex, and that not everyone agrees on the ‘correct’ terminology or how it</w:t>
            </w:r>
            <w:r w:rsidR="18852D83">
              <w:t xml:space="preserve"> is</w:t>
            </w:r>
            <w:r>
              <w:t xml:space="preserve"> used. Throughout this call for evidence we use ‘trans’ and ‘transgender’ interchangeably as an umbrella term for anyone whose gender identity does not correspond with their birth sex. We also use the phrase </w:t>
            </w:r>
            <w:r w:rsidR="00397605">
              <w:t>‘gender diverse’ to refer to children and adolescents whose gender identity may be different in a variety of ways from their birth sex - this includes people who have been diagnosed with gender dysphoria and gender incongruence. T</w:t>
            </w:r>
            <w:r>
              <w:t>he gender diverse young people we met with through our initial exploratory work told us they preferred this as a collective term.</w:t>
            </w:r>
          </w:p>
        </w:tc>
      </w:tr>
    </w:tbl>
    <w:p w14:paraId="0CDC1311" w14:textId="37BE00EF" w:rsidR="004B30C0" w:rsidRDefault="004B30C0" w:rsidP="004B30C0">
      <w:pPr>
        <w:rPr>
          <w:rFonts w:cs="Arial"/>
        </w:rPr>
      </w:pPr>
    </w:p>
    <w:p w14:paraId="0F369BFB" w14:textId="77777777" w:rsidR="00A26919" w:rsidRDefault="00A26919" w:rsidP="004B30C0">
      <w:pPr>
        <w:rPr>
          <w:rFonts w:cs="Arial"/>
        </w:rPr>
      </w:pPr>
    </w:p>
    <w:p w14:paraId="74DB664F" w14:textId="77777777" w:rsidR="004B30C0" w:rsidRDefault="004B30C0" w:rsidP="004B30C0">
      <w:pPr>
        <w:rPr>
          <w:rFonts w:cs="Arial"/>
          <w:u w:val="single"/>
        </w:rPr>
      </w:pPr>
      <w:r>
        <w:rPr>
          <w:rFonts w:cs="Arial"/>
          <w:u w:val="single"/>
        </w:rPr>
        <w:lastRenderedPageBreak/>
        <w:t>Your details</w:t>
      </w:r>
    </w:p>
    <w:p w14:paraId="1FF0EDE5" w14:textId="77777777" w:rsidR="004B30C0" w:rsidRPr="007B077F" w:rsidRDefault="004B30C0" w:rsidP="004B30C0">
      <w:pPr>
        <w:rPr>
          <w:rFonts w:cs="Arial"/>
          <w:b/>
          <w:bCs/>
        </w:rPr>
      </w:pPr>
      <w:r w:rsidRPr="007B077F">
        <w:rPr>
          <w:rFonts w:cs="Arial"/>
          <w:b/>
          <w:bCs/>
        </w:rPr>
        <w:t>Name:</w:t>
      </w:r>
    </w:p>
    <w:p w14:paraId="78E33424" w14:textId="77777777" w:rsidR="004B30C0" w:rsidRPr="007B077F" w:rsidRDefault="004B30C0" w:rsidP="004B30C0">
      <w:pPr>
        <w:rPr>
          <w:rFonts w:cs="Arial"/>
          <w:b/>
          <w:bCs/>
        </w:rPr>
      </w:pPr>
      <w:r w:rsidRPr="007B077F">
        <w:rPr>
          <w:rFonts w:cs="Arial"/>
          <w:b/>
          <w:bCs/>
        </w:rPr>
        <w:t>Organisation (if applicable):</w:t>
      </w:r>
    </w:p>
    <w:p w14:paraId="3F5453FF" w14:textId="77777777" w:rsidR="004B30C0" w:rsidRPr="007B077F" w:rsidRDefault="004B30C0" w:rsidP="004B30C0">
      <w:pPr>
        <w:rPr>
          <w:rFonts w:cs="Arial"/>
          <w:b/>
          <w:bCs/>
        </w:rPr>
      </w:pPr>
      <w:r w:rsidRPr="007B077F">
        <w:rPr>
          <w:rFonts w:cs="Arial"/>
          <w:b/>
          <w:bCs/>
        </w:rPr>
        <w:t>Email:</w:t>
      </w:r>
    </w:p>
    <w:p w14:paraId="772F2482" w14:textId="58E7ACD1" w:rsidR="004B30C0" w:rsidRDefault="004B30C0" w:rsidP="004B30C0">
      <w:pPr>
        <w:rPr>
          <w:rFonts w:cs="Arial"/>
        </w:rPr>
      </w:pPr>
      <w:r>
        <w:rPr>
          <w:rFonts w:cs="Arial"/>
          <w:i/>
          <w:iCs/>
        </w:rPr>
        <w:t xml:space="preserve">You do not need to provide an email address, but it would be helpful for us to be able to contact you should we have any queries about your response or wish to follow up on any of the points raised. Your email address will </w:t>
      </w:r>
      <w:r>
        <w:rPr>
          <w:rFonts w:cs="Arial"/>
          <w:b/>
          <w:bCs/>
          <w:i/>
          <w:iCs/>
        </w:rPr>
        <w:t>not</w:t>
      </w:r>
      <w:r>
        <w:rPr>
          <w:rFonts w:cs="Arial"/>
          <w:i/>
          <w:iCs/>
        </w:rPr>
        <w:t xml:space="preserve"> be shared or published in the report. </w:t>
      </w:r>
    </w:p>
    <w:p w14:paraId="66988AC8" w14:textId="77777777" w:rsidR="004B30C0" w:rsidRDefault="004B30C0" w:rsidP="004B30C0">
      <w:pPr>
        <w:rPr>
          <w:rFonts w:cs="Arial"/>
          <w:u w:val="single"/>
        </w:rPr>
      </w:pPr>
      <w:r>
        <w:rPr>
          <w:rFonts w:cs="Arial"/>
          <w:u w:val="single"/>
        </w:rPr>
        <w:t>About your response</w:t>
      </w:r>
    </w:p>
    <w:p w14:paraId="051108BB" w14:textId="7C27768A" w:rsidR="004B30C0" w:rsidRDefault="004B30C0" w:rsidP="004B30C0">
      <w:pPr>
        <w:rPr>
          <w:rFonts w:cs="Arial"/>
          <w:b/>
          <w:bCs/>
        </w:rPr>
      </w:pPr>
      <w:r w:rsidRPr="007B077F">
        <w:rPr>
          <w:rFonts w:cs="Arial"/>
          <w:b/>
          <w:bCs/>
        </w:rPr>
        <w:t xml:space="preserve">Are you responding personally (on your own behalf) or on behalf of </w:t>
      </w:r>
      <w:r w:rsidR="00A62C63">
        <w:rPr>
          <w:rFonts w:cs="Arial"/>
          <w:b/>
          <w:bCs/>
        </w:rPr>
        <w:t>an</w:t>
      </w:r>
      <w:r w:rsidRPr="007B077F">
        <w:rPr>
          <w:rFonts w:cs="Arial"/>
          <w:b/>
          <w:bCs/>
        </w:rPr>
        <w:t xml:space="preserve"> organisation?</w:t>
      </w:r>
    </w:p>
    <w:p w14:paraId="79889AE3" w14:textId="77777777" w:rsidR="004B30C0" w:rsidRDefault="00C07905" w:rsidP="004B30C0">
      <w:pPr>
        <w:rPr>
          <w:rFonts w:cs="Arial"/>
        </w:rPr>
      </w:pPr>
      <w:sdt>
        <w:sdtPr>
          <w:rPr>
            <w:rFonts w:cs="Arial"/>
          </w:rPr>
          <w:id w:val="-814795403"/>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Personal </w:t>
      </w:r>
      <w:r w:rsidR="004B30C0">
        <w:rPr>
          <w:rFonts w:cs="Arial"/>
        </w:rPr>
        <w:tab/>
      </w:r>
      <w:r w:rsidR="004B30C0">
        <w:rPr>
          <w:rFonts w:cs="Arial"/>
        </w:rPr>
        <w:tab/>
      </w:r>
      <w:sdt>
        <w:sdtPr>
          <w:rPr>
            <w:rFonts w:cs="Arial"/>
          </w:rPr>
          <w:id w:val="969169312"/>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Organisation</w:t>
      </w:r>
    </w:p>
    <w:p w14:paraId="08AAF612" w14:textId="77777777" w:rsidR="004B30C0" w:rsidRDefault="004B30C0" w:rsidP="004B30C0">
      <w:pPr>
        <w:rPr>
          <w:rFonts w:cs="Arial"/>
        </w:rPr>
      </w:pPr>
    </w:p>
    <w:p w14:paraId="21AED0E8" w14:textId="77777777" w:rsidR="004B30C0" w:rsidRDefault="004B30C0" w:rsidP="004B30C0">
      <w:pPr>
        <w:rPr>
          <w:rFonts w:cs="Arial"/>
          <w:b/>
          <w:bCs/>
        </w:rPr>
      </w:pPr>
      <w:r>
        <w:rPr>
          <w:rFonts w:cs="Arial"/>
          <w:b/>
          <w:bCs/>
        </w:rPr>
        <w:t>May we include your name/your organisation’s name in the list of respondents that will be published in the final report?</w:t>
      </w:r>
    </w:p>
    <w:p w14:paraId="4A9108E1" w14:textId="77777777" w:rsidR="004B30C0" w:rsidRDefault="00C07905" w:rsidP="004B30C0">
      <w:pPr>
        <w:rPr>
          <w:rFonts w:cs="Arial"/>
        </w:rPr>
      </w:pPr>
      <w:sdt>
        <w:sdtPr>
          <w:rPr>
            <w:rFonts w:cs="Arial"/>
            <w:b/>
            <w:bCs/>
          </w:rPr>
          <w:id w:val="2119713456"/>
          <w14:checkbox>
            <w14:checked w14:val="0"/>
            <w14:checkedState w14:val="2612" w14:font="MS Gothic"/>
            <w14:uncheckedState w14:val="2610" w14:font="MS Gothic"/>
          </w14:checkbox>
        </w:sdtPr>
        <w:sdtEndPr/>
        <w:sdtContent>
          <w:r w:rsidR="004B30C0">
            <w:rPr>
              <w:rFonts w:ascii="MS Gothic" w:eastAsia="MS Gothic" w:hAnsi="MS Gothic" w:cs="Arial" w:hint="eastAsia"/>
              <w:b/>
              <w:bCs/>
            </w:rPr>
            <w:t>☐</w:t>
          </w:r>
        </w:sdtContent>
      </w:sdt>
      <w:r w:rsidR="004B30C0">
        <w:rPr>
          <w:rFonts w:cs="Arial"/>
          <w:b/>
          <w:bCs/>
        </w:rPr>
        <w:t xml:space="preserve"> </w:t>
      </w:r>
      <w:r w:rsidR="004B30C0">
        <w:rPr>
          <w:rFonts w:cs="Arial"/>
        </w:rPr>
        <w:t>Yes</w:t>
      </w:r>
      <w:r w:rsidR="004B30C0">
        <w:rPr>
          <w:rFonts w:cs="Arial"/>
        </w:rPr>
        <w:tab/>
      </w:r>
      <w:r w:rsidR="004B30C0">
        <w:rPr>
          <w:rFonts w:cs="Arial"/>
        </w:rPr>
        <w:tab/>
      </w:r>
      <w:r w:rsidR="004B30C0">
        <w:rPr>
          <w:rFonts w:cs="Arial"/>
        </w:rPr>
        <w:tab/>
      </w:r>
      <w:sdt>
        <w:sdtPr>
          <w:rPr>
            <w:rFonts w:cs="Arial"/>
          </w:rPr>
          <w:id w:val="862330887"/>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No</w:t>
      </w:r>
    </w:p>
    <w:p w14:paraId="390E8D36" w14:textId="77777777" w:rsidR="004B30C0" w:rsidRDefault="004B30C0" w:rsidP="004B30C0">
      <w:pPr>
        <w:rPr>
          <w:rFonts w:cs="Arial"/>
        </w:rPr>
      </w:pPr>
    </w:p>
    <w:p w14:paraId="7E4C128D" w14:textId="77777777" w:rsidR="004B30C0" w:rsidRDefault="004B30C0" w:rsidP="004B30C0">
      <w:pPr>
        <w:rPr>
          <w:rFonts w:cs="Arial"/>
          <w:b/>
          <w:bCs/>
        </w:rPr>
      </w:pPr>
      <w:r>
        <w:rPr>
          <w:rFonts w:cs="Arial"/>
          <w:b/>
          <w:bCs/>
        </w:rPr>
        <w:t>If you have answered ‘yes’, please give your name or your organisation’s name as it should appear in print:</w:t>
      </w:r>
    </w:p>
    <w:tbl>
      <w:tblPr>
        <w:tblStyle w:val="TableGrid"/>
        <w:tblW w:w="0" w:type="auto"/>
        <w:tblLook w:val="04A0" w:firstRow="1" w:lastRow="0" w:firstColumn="1" w:lastColumn="0" w:noHBand="0" w:noVBand="1"/>
      </w:tblPr>
      <w:tblGrid>
        <w:gridCol w:w="9016"/>
      </w:tblGrid>
      <w:tr w:rsidR="004B30C0" w14:paraId="2D2F6713" w14:textId="77777777" w:rsidTr="004B30C0">
        <w:tc>
          <w:tcPr>
            <w:tcW w:w="9016" w:type="dxa"/>
          </w:tcPr>
          <w:p w14:paraId="4770A56E" w14:textId="77777777" w:rsidR="004B30C0" w:rsidRDefault="004B30C0" w:rsidP="004B30C0">
            <w:pPr>
              <w:rPr>
                <w:b/>
                <w:bCs/>
              </w:rPr>
            </w:pPr>
          </w:p>
          <w:p w14:paraId="478750B1" w14:textId="77777777" w:rsidR="004B30C0" w:rsidRDefault="004B30C0" w:rsidP="004B30C0">
            <w:pPr>
              <w:rPr>
                <w:b/>
                <w:bCs/>
              </w:rPr>
            </w:pPr>
          </w:p>
        </w:tc>
      </w:tr>
    </w:tbl>
    <w:p w14:paraId="0E921667" w14:textId="47C9C92A" w:rsidR="004B30C0" w:rsidRDefault="004B30C0" w:rsidP="004B30C0">
      <w:pPr>
        <w:rPr>
          <w:rFonts w:cs="Arial"/>
          <w:b/>
          <w:bCs/>
        </w:rPr>
      </w:pPr>
    </w:p>
    <w:p w14:paraId="233729E0" w14:textId="77777777" w:rsidR="00621391" w:rsidRDefault="00621391" w:rsidP="004B30C0">
      <w:pPr>
        <w:rPr>
          <w:rFonts w:cs="Arial"/>
          <w:b/>
          <w:bCs/>
        </w:rPr>
      </w:pPr>
    </w:p>
    <w:p w14:paraId="1572205F" w14:textId="45132F9C" w:rsidR="004B30C0" w:rsidRDefault="004B30C0" w:rsidP="004B30C0">
      <w:pPr>
        <w:rPr>
          <w:rFonts w:cs="Arial"/>
          <w:b/>
          <w:bCs/>
        </w:rPr>
      </w:pPr>
      <w:r>
        <w:rPr>
          <w:rFonts w:cs="Arial"/>
          <w:b/>
          <w:bCs/>
        </w:rPr>
        <w:t>May we quote from your response in the report</w:t>
      </w:r>
      <w:r w:rsidR="00E4680F">
        <w:rPr>
          <w:rFonts w:cs="Arial"/>
          <w:b/>
          <w:bCs/>
        </w:rPr>
        <w:t xml:space="preserve"> and make it available on the Council’s website when the report is published</w:t>
      </w:r>
      <w:r>
        <w:rPr>
          <w:rFonts w:cs="Arial"/>
          <w:b/>
          <w:bCs/>
        </w:rPr>
        <w:t>?</w:t>
      </w:r>
    </w:p>
    <w:p w14:paraId="5650A3C4" w14:textId="77777777" w:rsidR="004B30C0" w:rsidRDefault="00C07905" w:rsidP="004B30C0">
      <w:pPr>
        <w:rPr>
          <w:rFonts w:cs="Arial"/>
        </w:rPr>
      </w:pPr>
      <w:sdt>
        <w:sdtPr>
          <w:rPr>
            <w:rFonts w:cs="Arial"/>
          </w:rPr>
          <w:id w:val="1011881529"/>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Yes</w:t>
      </w:r>
      <w:r w:rsidR="004B30C0">
        <w:rPr>
          <w:rFonts w:cs="Arial"/>
        </w:rPr>
        <w:tab/>
      </w:r>
      <w:r w:rsidR="004B30C0">
        <w:rPr>
          <w:rFonts w:cs="Arial"/>
        </w:rPr>
        <w:tab/>
      </w:r>
      <w:r w:rsidR="004B30C0">
        <w:rPr>
          <w:rFonts w:cs="Arial"/>
        </w:rPr>
        <w:tab/>
      </w:r>
      <w:sdt>
        <w:sdtPr>
          <w:rPr>
            <w:rFonts w:cs="Arial"/>
          </w:rPr>
          <w:id w:val="1421603520"/>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Yes, anonymously*</w:t>
      </w:r>
      <w:r w:rsidR="004B30C0">
        <w:rPr>
          <w:rFonts w:cs="Arial"/>
        </w:rPr>
        <w:tab/>
      </w:r>
      <w:r w:rsidR="004B30C0">
        <w:rPr>
          <w:rFonts w:cs="Arial"/>
        </w:rPr>
        <w:tab/>
      </w:r>
      <w:r w:rsidR="004B30C0">
        <w:rPr>
          <w:rFonts w:cs="Arial"/>
        </w:rPr>
        <w:tab/>
      </w:r>
      <w:sdt>
        <w:sdtPr>
          <w:rPr>
            <w:rFonts w:cs="Arial"/>
          </w:rPr>
          <w:id w:val="1308511563"/>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No</w:t>
      </w:r>
    </w:p>
    <w:p w14:paraId="0E09A08A" w14:textId="25EEDF14" w:rsidR="004B30C0" w:rsidRPr="00621391" w:rsidRDefault="004B30C0" w:rsidP="004B30C0">
      <w:pPr>
        <w:rPr>
          <w:rFonts w:cs="Arial"/>
          <w:i/>
          <w:iCs/>
        </w:rPr>
      </w:pPr>
      <w:r w:rsidRPr="00621391">
        <w:rPr>
          <w:rFonts w:cs="Arial"/>
          <w:i/>
          <w:iCs/>
        </w:rPr>
        <w:t xml:space="preserve">* If you select this option, </w:t>
      </w:r>
      <w:r w:rsidR="00E4680F" w:rsidRPr="00621391">
        <w:rPr>
          <w:rFonts w:cs="Arial"/>
          <w:i/>
          <w:iCs/>
        </w:rPr>
        <w:t xml:space="preserve">please note that your response will be published in full (excluding this form). If you wish to remain anonymous, please make sure that your name and any other identifying information does not appear in the main text of your </w:t>
      </w:r>
      <w:r w:rsidR="00E4680F" w:rsidRPr="00621391">
        <w:rPr>
          <w:rFonts w:cs="Arial"/>
          <w:i/>
          <w:iCs/>
        </w:rPr>
        <w:lastRenderedPageBreak/>
        <w:t xml:space="preserve">response. The Nuffield Council on Bioethics cannot take responsibility for anonymising responses in which you or your organisation may be identifiable from the content of your response. Please note that </w:t>
      </w:r>
      <w:r w:rsidR="00E4680F" w:rsidRPr="00621391">
        <w:rPr>
          <w:rFonts w:cs="Arial"/>
          <w:i/>
          <w:iCs/>
          <w:szCs w:val="24"/>
        </w:rPr>
        <w:t>o</w:t>
      </w:r>
      <w:r w:rsidR="00E4680F" w:rsidRPr="00621391">
        <w:rPr>
          <w:rStyle w:val="normaltextrun"/>
          <w:rFonts w:cs="Arial"/>
          <w:i/>
          <w:iCs/>
          <w:color w:val="000000"/>
          <w:szCs w:val="24"/>
          <w:shd w:val="clear" w:color="auto" w:fill="FFFFFF"/>
        </w:rPr>
        <w:t>btaining consent to publish a response does not commit the Council to publishing it. We will also not publish any response where it appears to us that to do so might result in detriment to the Council’s reputation or render it liable to legal proceedings.</w:t>
      </w:r>
      <w:r w:rsidR="00E4680F" w:rsidRPr="00621391">
        <w:rPr>
          <w:rFonts w:cs="Arial"/>
          <w:i/>
          <w:iCs/>
          <w:szCs w:val="24"/>
        </w:rPr>
        <w:t xml:space="preserve">   </w:t>
      </w:r>
    </w:p>
    <w:p w14:paraId="2260776C" w14:textId="5425C472" w:rsidR="004B30C0" w:rsidRDefault="00371A3C" w:rsidP="004B30C0">
      <w:pPr>
        <w:rPr>
          <w:rFonts w:cs="Arial"/>
          <w:b/>
          <w:bCs/>
        </w:rPr>
      </w:pPr>
      <w:r w:rsidRPr="5BBA4C3C">
        <w:rPr>
          <w:rFonts w:cs="Arial"/>
          <w:b/>
          <w:bCs/>
        </w:rPr>
        <w:t>In what capacity are you responding</w:t>
      </w:r>
      <w:r w:rsidR="00E4680F" w:rsidRPr="5BBA4C3C">
        <w:rPr>
          <w:rFonts w:cs="Arial"/>
          <w:b/>
          <w:bCs/>
        </w:rPr>
        <w:t xml:space="preserve"> to this call for evidence</w:t>
      </w:r>
      <w:r w:rsidRPr="5BBA4C3C">
        <w:rPr>
          <w:rFonts w:cs="Arial"/>
          <w:b/>
          <w:bCs/>
        </w:rPr>
        <w:t xml:space="preserve">? </w:t>
      </w:r>
      <w:r w:rsidR="004B30C0" w:rsidRPr="5BBA4C3C">
        <w:rPr>
          <w:rFonts w:cs="Arial"/>
          <w:b/>
          <w:bCs/>
        </w:rPr>
        <w:t xml:space="preserve">Tick all that apply. </w:t>
      </w:r>
    </w:p>
    <w:p w14:paraId="02D45B01" w14:textId="01786179" w:rsidR="00E4680F" w:rsidRDefault="00C07905" w:rsidP="00E4680F">
      <w:pPr>
        <w:tabs>
          <w:tab w:val="left" w:pos="830"/>
        </w:tabs>
        <w:rPr>
          <w:rFonts w:cs="Arial"/>
        </w:rPr>
      </w:pPr>
      <w:sdt>
        <w:sdtPr>
          <w:rPr>
            <w:rFonts w:cs="Arial"/>
          </w:rPr>
          <w:id w:val="727961388"/>
          <w:placeholder>
            <w:docPart w:val="DefaultPlaceholder_1081868574"/>
          </w:placeholder>
          <w14:checkbox>
            <w14:checked w14:val="0"/>
            <w14:checkedState w14:val="2612" w14:font="MS Gothic"/>
            <w14:uncheckedState w14:val="2610" w14:font="MS Gothic"/>
          </w14:checkbox>
        </w:sdtPr>
        <w:sdtEndPr/>
        <w:sdtContent>
          <w:r w:rsidR="00E4680F">
            <w:rPr>
              <w:rFonts w:ascii="MS Gothic" w:eastAsia="MS Gothic" w:hAnsi="MS Gothic" w:cs="Arial"/>
            </w:rPr>
            <w:t>☐</w:t>
          </w:r>
        </w:sdtContent>
      </w:sdt>
      <w:r w:rsidR="00E4680F">
        <w:rPr>
          <w:rFonts w:cs="Arial"/>
        </w:rPr>
        <w:t xml:space="preserve"> Personal experience of using gender identity services </w:t>
      </w:r>
      <w:r w:rsidR="0095573A">
        <w:rPr>
          <w:rFonts w:cs="Arial"/>
        </w:rPr>
        <w:t>for children and   adolescents</w:t>
      </w:r>
    </w:p>
    <w:p w14:paraId="61FA01D6" w14:textId="4ADDC536" w:rsidR="00E4680F" w:rsidRDefault="00C07905" w:rsidP="00E4680F">
      <w:pPr>
        <w:rPr>
          <w:rFonts w:cs="Arial"/>
          <w:b/>
          <w:bCs/>
        </w:rPr>
      </w:pPr>
      <w:sdt>
        <w:sdtPr>
          <w:rPr>
            <w:rFonts w:cs="Arial"/>
          </w:rPr>
          <w:id w:val="-1376452598"/>
          <w14:checkbox>
            <w14:checked w14:val="0"/>
            <w14:checkedState w14:val="2612" w14:font="MS Gothic"/>
            <w14:uncheckedState w14:val="2610" w14:font="MS Gothic"/>
          </w14:checkbox>
        </w:sdtPr>
        <w:sdtEndPr/>
        <w:sdtContent>
          <w:r w:rsidR="00397605">
            <w:rPr>
              <w:rFonts w:ascii="MS Gothic" w:eastAsia="MS Gothic" w:hAnsi="MS Gothic" w:cs="Arial" w:hint="eastAsia"/>
            </w:rPr>
            <w:t>☐</w:t>
          </w:r>
        </w:sdtContent>
      </w:sdt>
      <w:r w:rsidR="00E4680F">
        <w:rPr>
          <w:rFonts w:cs="Arial"/>
        </w:rPr>
        <w:t xml:space="preserve"> Personal experience of supporting a user of gender identity services</w:t>
      </w:r>
      <w:r w:rsidR="0095573A">
        <w:rPr>
          <w:rFonts w:cs="Arial"/>
        </w:rPr>
        <w:t xml:space="preserve"> for children and adolescents</w:t>
      </w:r>
      <w:r w:rsidR="00E4680F">
        <w:rPr>
          <w:rFonts w:cs="Arial"/>
        </w:rPr>
        <w:tab/>
      </w:r>
    </w:p>
    <w:p w14:paraId="3D463B3A" w14:textId="77777777" w:rsidR="004B30C0" w:rsidRDefault="00C07905" w:rsidP="004B30C0">
      <w:pPr>
        <w:rPr>
          <w:rFonts w:cs="Arial"/>
        </w:rPr>
      </w:pPr>
      <w:sdt>
        <w:sdtPr>
          <w:rPr>
            <w:rFonts w:cs="Arial"/>
          </w:rPr>
          <w:id w:val="1677149845"/>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Healthcare professional</w:t>
      </w:r>
    </w:p>
    <w:p w14:paraId="4A5B0812" w14:textId="77777777" w:rsidR="004B30C0" w:rsidRDefault="00C07905" w:rsidP="004B30C0">
      <w:pPr>
        <w:rPr>
          <w:rFonts w:cs="Arial"/>
        </w:rPr>
      </w:pPr>
      <w:sdt>
        <w:sdtPr>
          <w:rPr>
            <w:rFonts w:cs="Arial"/>
          </w:rPr>
          <w:id w:val="-654841411"/>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Policy maker</w:t>
      </w:r>
      <w:r w:rsidR="004B30C0">
        <w:rPr>
          <w:rFonts w:cs="Arial"/>
        </w:rPr>
        <w:tab/>
      </w:r>
      <w:r w:rsidR="004B30C0">
        <w:rPr>
          <w:rFonts w:cs="Arial"/>
        </w:rPr>
        <w:tab/>
      </w:r>
      <w:r w:rsidR="004B30C0">
        <w:rPr>
          <w:rFonts w:cs="Arial"/>
        </w:rPr>
        <w:tab/>
      </w:r>
    </w:p>
    <w:p w14:paraId="215178E0" w14:textId="77777777" w:rsidR="004B30C0" w:rsidRDefault="00C07905" w:rsidP="004B30C0">
      <w:pPr>
        <w:tabs>
          <w:tab w:val="left" w:pos="830"/>
        </w:tabs>
        <w:rPr>
          <w:rFonts w:cs="Arial"/>
        </w:rPr>
      </w:pPr>
      <w:sdt>
        <w:sdtPr>
          <w:rPr>
            <w:rFonts w:cs="Arial"/>
          </w:rPr>
          <w:id w:val="39638632"/>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Work for a charity or advocacy group</w:t>
      </w:r>
    </w:p>
    <w:p w14:paraId="2761B3A3" w14:textId="77777777" w:rsidR="00E4680F" w:rsidRDefault="00C07905" w:rsidP="004B30C0">
      <w:pPr>
        <w:tabs>
          <w:tab w:val="left" w:pos="830"/>
        </w:tabs>
        <w:rPr>
          <w:rFonts w:cs="Arial"/>
        </w:rPr>
      </w:pPr>
      <w:sdt>
        <w:sdtPr>
          <w:rPr>
            <w:rFonts w:cs="Arial"/>
          </w:rPr>
          <w:id w:val="945428562"/>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Academic interest</w:t>
      </w:r>
    </w:p>
    <w:p w14:paraId="4D96F726" w14:textId="5F18DD01" w:rsidR="004B30C0" w:rsidRDefault="00C07905" w:rsidP="00E4680F">
      <w:pPr>
        <w:rPr>
          <w:rFonts w:cs="Arial"/>
        </w:rPr>
      </w:pPr>
      <w:sdt>
        <w:sdtPr>
          <w:rPr>
            <w:rFonts w:cs="Arial"/>
          </w:rPr>
          <w:id w:val="-740556412"/>
          <w14:checkbox>
            <w14:checked w14:val="0"/>
            <w14:checkedState w14:val="2612" w14:font="MS Gothic"/>
            <w14:uncheckedState w14:val="2610" w14:font="MS Gothic"/>
          </w14:checkbox>
        </w:sdtPr>
        <w:sdtEndPr/>
        <w:sdtContent>
          <w:r w:rsidR="00E4680F">
            <w:rPr>
              <w:rFonts w:ascii="MS Gothic" w:eastAsia="MS Gothic" w:hAnsi="MS Gothic" w:cs="Arial" w:hint="eastAsia"/>
            </w:rPr>
            <w:t>☐</w:t>
          </w:r>
        </w:sdtContent>
      </w:sdt>
      <w:r w:rsidR="00E4680F">
        <w:rPr>
          <w:rFonts w:cs="Arial"/>
        </w:rPr>
        <w:t xml:space="preserve"> Researcher</w:t>
      </w:r>
      <w:r w:rsidR="004B30C0">
        <w:rPr>
          <w:rFonts w:cs="Arial"/>
        </w:rPr>
        <w:tab/>
      </w:r>
    </w:p>
    <w:p w14:paraId="33945B7A" w14:textId="77777777" w:rsidR="004B30C0" w:rsidRDefault="00C07905" w:rsidP="004B30C0">
      <w:pPr>
        <w:tabs>
          <w:tab w:val="left" w:pos="830"/>
        </w:tabs>
        <w:rPr>
          <w:rFonts w:cs="Arial"/>
        </w:rPr>
      </w:pPr>
      <w:sdt>
        <w:sdtPr>
          <w:rPr>
            <w:rFonts w:cs="Arial"/>
          </w:rPr>
          <w:id w:val="-2016600677"/>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Legal/regulatory interest</w:t>
      </w:r>
    </w:p>
    <w:p w14:paraId="1C80C5D4" w14:textId="77777777" w:rsidR="00397605" w:rsidRDefault="00C07905" w:rsidP="004B30C0">
      <w:pPr>
        <w:tabs>
          <w:tab w:val="left" w:pos="1230"/>
        </w:tabs>
        <w:rPr>
          <w:rFonts w:cs="Arial"/>
        </w:rPr>
      </w:pPr>
      <w:sdt>
        <w:sdtPr>
          <w:rPr>
            <w:rFonts w:cs="Arial"/>
          </w:rPr>
          <w:id w:val="1726872257"/>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Other professional interest</w:t>
      </w:r>
    </w:p>
    <w:p w14:paraId="36983F23" w14:textId="113E4243" w:rsidR="004B30C0" w:rsidRPr="00EC2FE8" w:rsidRDefault="00C07905" w:rsidP="004B30C0">
      <w:pPr>
        <w:tabs>
          <w:tab w:val="left" w:pos="1230"/>
        </w:tabs>
        <w:rPr>
          <w:rFonts w:cs="Arial"/>
        </w:rPr>
      </w:pPr>
      <w:sdt>
        <w:sdtPr>
          <w:rPr>
            <w:rFonts w:cs="Arial"/>
          </w:rPr>
          <w:id w:val="1967086073"/>
          <w14:checkbox>
            <w14:checked w14:val="0"/>
            <w14:checkedState w14:val="2612" w14:font="MS Gothic"/>
            <w14:uncheckedState w14:val="2610" w14:font="MS Gothic"/>
          </w14:checkbox>
        </w:sdtPr>
        <w:sdtEndPr/>
        <w:sdtContent>
          <w:r w:rsidR="004B30C0">
            <w:rPr>
              <w:rFonts w:ascii="MS Gothic" w:eastAsia="MS Gothic" w:hAnsi="MS Gothic" w:cs="Arial" w:hint="eastAsia"/>
            </w:rPr>
            <w:t>☐</w:t>
          </w:r>
        </w:sdtContent>
      </w:sdt>
      <w:r w:rsidR="004B30C0">
        <w:rPr>
          <w:rFonts w:cs="Arial"/>
        </w:rPr>
        <w:t xml:space="preserve"> Other (please state):</w:t>
      </w:r>
    </w:p>
    <w:tbl>
      <w:tblPr>
        <w:tblStyle w:val="TableGrid"/>
        <w:tblW w:w="0" w:type="auto"/>
        <w:tblInd w:w="279" w:type="dxa"/>
        <w:tblLook w:val="04A0" w:firstRow="1" w:lastRow="0" w:firstColumn="1" w:lastColumn="0" w:noHBand="0" w:noVBand="1"/>
      </w:tblPr>
      <w:tblGrid>
        <w:gridCol w:w="2410"/>
      </w:tblGrid>
      <w:tr w:rsidR="004B30C0" w14:paraId="63827D14" w14:textId="77777777" w:rsidTr="004B30C0">
        <w:tc>
          <w:tcPr>
            <w:tcW w:w="2410" w:type="dxa"/>
          </w:tcPr>
          <w:p w14:paraId="09BAEF7E" w14:textId="77777777" w:rsidR="004B30C0" w:rsidRDefault="004B30C0" w:rsidP="004B30C0"/>
        </w:tc>
      </w:tr>
    </w:tbl>
    <w:p w14:paraId="2B6B27E0" w14:textId="6745D2F5" w:rsidR="0046179C" w:rsidRPr="00397605" w:rsidRDefault="00C07905" w:rsidP="004B30C0">
      <w:pPr>
        <w:spacing w:before="240"/>
        <w:rPr>
          <w:rFonts w:cs="Arial"/>
        </w:rPr>
      </w:pPr>
      <w:sdt>
        <w:sdtPr>
          <w:rPr>
            <w:rFonts w:cs="Arial"/>
          </w:rPr>
          <w:id w:val="4641348"/>
          <w14:checkbox>
            <w14:checked w14:val="0"/>
            <w14:checkedState w14:val="2612" w14:font="MS Gothic"/>
            <w14:uncheckedState w14:val="2610" w14:font="MS Gothic"/>
          </w14:checkbox>
        </w:sdtPr>
        <w:sdtEndPr/>
        <w:sdtContent>
          <w:r w:rsidR="0046179C" w:rsidRPr="00397605">
            <w:rPr>
              <w:rFonts w:ascii="MS Gothic" w:eastAsia="MS Gothic" w:hAnsi="MS Gothic" w:cs="Arial" w:hint="eastAsia"/>
            </w:rPr>
            <w:t>☐</w:t>
          </w:r>
        </w:sdtContent>
      </w:sdt>
      <w:r w:rsidR="0046179C" w:rsidRPr="00397605">
        <w:rPr>
          <w:rFonts w:cs="Arial"/>
        </w:rPr>
        <w:t xml:space="preserve">  Prefer not to say    </w:t>
      </w:r>
    </w:p>
    <w:p w14:paraId="30670B88" w14:textId="77777777" w:rsidR="004B30C0" w:rsidRDefault="004B30C0" w:rsidP="004B30C0">
      <w:pPr>
        <w:spacing w:before="240"/>
        <w:rPr>
          <w:rFonts w:cs="Arial"/>
        </w:rPr>
      </w:pPr>
      <w:r>
        <w:rPr>
          <w:rFonts w:cs="Arial"/>
        </w:rPr>
        <w:t xml:space="preserve">We would like to send you a link to the report when it is published and keep you informed about other activities related to this project. If you would like us to do so, please tick here </w:t>
      </w:r>
      <w:sdt>
        <w:sdtPr>
          <w:rPr>
            <w:rFonts w:cs="Arial"/>
          </w:rPr>
          <w:id w:val="54904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32203E" w14:textId="004D7FEC" w:rsidR="004B30C0" w:rsidRDefault="004B30C0" w:rsidP="004B30C0">
      <w:pPr>
        <w:spacing w:before="240"/>
        <w:rPr>
          <w:rFonts w:cs="Arial"/>
        </w:rPr>
      </w:pPr>
      <w:r>
        <w:rPr>
          <w:rFonts w:cs="Arial"/>
        </w:rPr>
        <w:t>If you would</w:t>
      </w:r>
      <w:r w:rsidR="003017AD">
        <w:rPr>
          <w:rFonts w:cs="Arial"/>
        </w:rPr>
        <w:t xml:space="preserve"> like</w:t>
      </w:r>
      <w:r>
        <w:rPr>
          <w:rFonts w:cs="Arial"/>
        </w:rPr>
        <w:t xml:space="preserve"> to receive our newsletter on all the Council’s activities, please tick here </w:t>
      </w:r>
      <w:sdt>
        <w:sdtPr>
          <w:rPr>
            <w:rFonts w:cs="Arial"/>
          </w:rPr>
          <w:id w:val="-803086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0BE170" w14:textId="1BE200D3" w:rsidR="004B30C0" w:rsidRDefault="004B30C0" w:rsidP="004B30C0">
      <w:pPr>
        <w:spacing w:before="240"/>
        <w:rPr>
          <w:rFonts w:cs="Arial"/>
          <w:i/>
          <w:iCs/>
        </w:rPr>
      </w:pPr>
      <w:r>
        <w:rPr>
          <w:rFonts w:cs="Arial"/>
          <w:i/>
          <w:iCs/>
        </w:rPr>
        <w:t>We will use your dat</w:t>
      </w:r>
      <w:r w:rsidR="003017AD">
        <w:rPr>
          <w:rFonts w:cs="Arial"/>
          <w:i/>
          <w:iCs/>
        </w:rPr>
        <w:t>a</w:t>
      </w:r>
      <w:r>
        <w:rPr>
          <w:rFonts w:cs="Arial"/>
          <w:i/>
          <w:iCs/>
        </w:rPr>
        <w:t xml:space="preserve"> to send you the newsletter, project updates, and for our internal reviews of our impact. We will not share your data with any third parties. You </w:t>
      </w:r>
      <w:r>
        <w:rPr>
          <w:rFonts w:cs="Arial"/>
          <w:i/>
          <w:iCs/>
        </w:rPr>
        <w:lastRenderedPageBreak/>
        <w:t xml:space="preserve">may unsubscribe from our newsletter at any time by clicking the unsubscribe link in any newsletter email or by emailing </w:t>
      </w:r>
      <w:hyperlink r:id="rId15" w:history="1">
        <w:r w:rsidRPr="0015054C">
          <w:rPr>
            <w:rStyle w:val="Hyperlink"/>
            <w:rFonts w:cs="Arial"/>
            <w:i/>
            <w:iCs/>
          </w:rPr>
          <w:t>bioethics@nuffieldbioethics.org</w:t>
        </w:r>
      </w:hyperlink>
      <w:r>
        <w:rPr>
          <w:rFonts w:cs="Arial"/>
          <w:i/>
          <w:iCs/>
        </w:rPr>
        <w:t>. For more information o</w:t>
      </w:r>
      <w:r w:rsidR="00A62C63">
        <w:rPr>
          <w:rFonts w:cs="Arial"/>
          <w:i/>
          <w:iCs/>
        </w:rPr>
        <w:t>n</w:t>
      </w:r>
      <w:r>
        <w:rPr>
          <w:rFonts w:cs="Arial"/>
          <w:i/>
          <w:iCs/>
        </w:rPr>
        <w:t xml:space="preserve"> our principles when dealing with personal data, please see our privacy policy at </w:t>
      </w:r>
      <w:hyperlink r:id="rId16" w:history="1">
        <w:r w:rsidRPr="0015054C">
          <w:rPr>
            <w:rStyle w:val="Hyperlink"/>
            <w:rFonts w:cs="Arial"/>
            <w:i/>
            <w:iCs/>
          </w:rPr>
          <w:t>http://nuffieldbioethics.org/l</w:t>
        </w:r>
        <w:r w:rsidRPr="0015054C">
          <w:rPr>
            <w:rStyle w:val="Hyperlink"/>
            <w:rFonts w:cs="Arial"/>
            <w:i/>
            <w:iCs/>
          </w:rPr>
          <w:t>e</w:t>
        </w:r>
        <w:r w:rsidRPr="0015054C">
          <w:rPr>
            <w:rStyle w:val="Hyperlink"/>
            <w:rFonts w:cs="Arial"/>
            <w:i/>
            <w:iCs/>
          </w:rPr>
          <w:t>gal</w:t>
        </w:r>
      </w:hyperlink>
      <w:r>
        <w:rPr>
          <w:rFonts w:cs="Arial"/>
          <w:i/>
          <w:iCs/>
        </w:rPr>
        <w:t xml:space="preserve">. </w:t>
      </w:r>
    </w:p>
    <w:p w14:paraId="7C67B1FA" w14:textId="77777777" w:rsidR="004B30C0" w:rsidRPr="00965880" w:rsidRDefault="004B30C0" w:rsidP="004B30C0">
      <w:pPr>
        <w:spacing w:before="240"/>
        <w:rPr>
          <w:rFonts w:cs="Arial"/>
          <w:color w:val="FF0000"/>
        </w:rPr>
      </w:pPr>
    </w:p>
    <w:p w14:paraId="3123C513" w14:textId="77777777" w:rsidR="004B30C0" w:rsidRDefault="004B30C0" w:rsidP="004B30C0">
      <w:pPr>
        <w:spacing w:before="240"/>
        <w:rPr>
          <w:rFonts w:cs="Arial"/>
          <w:i/>
          <w:iCs/>
          <w:color w:val="FF0000"/>
        </w:rPr>
      </w:pPr>
    </w:p>
    <w:p w14:paraId="444C2A1E" w14:textId="77777777" w:rsidR="004B30C0" w:rsidRDefault="004B30C0" w:rsidP="004B30C0">
      <w:pPr>
        <w:spacing w:before="240"/>
        <w:rPr>
          <w:rFonts w:cs="Arial"/>
          <w:i/>
          <w:iCs/>
          <w:color w:val="FF0000"/>
        </w:rPr>
      </w:pPr>
    </w:p>
    <w:p w14:paraId="38F88DED" w14:textId="77777777" w:rsidR="004B30C0" w:rsidRDefault="004B30C0" w:rsidP="004B30C0">
      <w:pPr>
        <w:spacing w:before="240"/>
        <w:rPr>
          <w:rFonts w:cs="Arial"/>
        </w:rPr>
      </w:pPr>
    </w:p>
    <w:p w14:paraId="32698C73" w14:textId="77777777" w:rsidR="004B30C0" w:rsidRDefault="004B30C0" w:rsidP="004B30C0">
      <w:pPr>
        <w:spacing w:before="240"/>
        <w:rPr>
          <w:rFonts w:cs="Arial"/>
        </w:rPr>
      </w:pPr>
    </w:p>
    <w:p w14:paraId="163DD8F8" w14:textId="77777777" w:rsidR="004B30C0" w:rsidRDefault="004B30C0" w:rsidP="004B30C0">
      <w:pPr>
        <w:spacing w:before="240"/>
        <w:rPr>
          <w:rFonts w:cs="Arial"/>
        </w:rPr>
      </w:pPr>
    </w:p>
    <w:p w14:paraId="5DB9569E" w14:textId="77777777" w:rsidR="004B30C0" w:rsidRDefault="004B30C0" w:rsidP="004B30C0">
      <w:pPr>
        <w:rPr>
          <w:rFonts w:cs="Arial"/>
        </w:rPr>
      </w:pPr>
    </w:p>
    <w:p w14:paraId="2A3CD1E7" w14:textId="77777777" w:rsidR="004B30C0" w:rsidRDefault="004B30C0" w:rsidP="004B30C0">
      <w:pPr>
        <w:rPr>
          <w:rFonts w:cs="Arial"/>
        </w:rPr>
      </w:pPr>
    </w:p>
    <w:p w14:paraId="7A4D50F9" w14:textId="4366A911" w:rsidR="004B30C0" w:rsidRDefault="004B30C0" w:rsidP="004B30C0">
      <w:pPr>
        <w:rPr>
          <w:rFonts w:cs="Arial"/>
        </w:rPr>
      </w:pPr>
    </w:p>
    <w:p w14:paraId="5470D2F5" w14:textId="0759DC6C" w:rsidR="004B30C0" w:rsidRDefault="004B30C0" w:rsidP="004B30C0">
      <w:pPr>
        <w:rPr>
          <w:rFonts w:cs="Arial"/>
        </w:rPr>
      </w:pPr>
    </w:p>
    <w:p w14:paraId="1D69BF6D" w14:textId="7CE1882B" w:rsidR="004B30C0" w:rsidRDefault="004B30C0" w:rsidP="004B30C0">
      <w:pPr>
        <w:rPr>
          <w:rFonts w:cs="Arial"/>
        </w:rPr>
      </w:pPr>
    </w:p>
    <w:p w14:paraId="7331D613" w14:textId="59EE8BDD" w:rsidR="004B30C0" w:rsidRDefault="004B30C0" w:rsidP="004B30C0">
      <w:pPr>
        <w:rPr>
          <w:rFonts w:cs="Arial"/>
        </w:rPr>
      </w:pPr>
    </w:p>
    <w:p w14:paraId="2F788BF5" w14:textId="7447517C" w:rsidR="004B30C0" w:rsidRDefault="004B30C0" w:rsidP="004B30C0">
      <w:pPr>
        <w:rPr>
          <w:rFonts w:cs="Arial"/>
        </w:rPr>
      </w:pPr>
    </w:p>
    <w:p w14:paraId="6F0DF55C" w14:textId="058AB93F" w:rsidR="00397605" w:rsidRDefault="00397605" w:rsidP="004B30C0">
      <w:pPr>
        <w:rPr>
          <w:rFonts w:cs="Arial"/>
        </w:rPr>
      </w:pPr>
    </w:p>
    <w:p w14:paraId="35F14BE0" w14:textId="04F8ADBD" w:rsidR="00397605" w:rsidRDefault="00397605" w:rsidP="004B30C0">
      <w:pPr>
        <w:rPr>
          <w:rFonts w:cs="Arial"/>
        </w:rPr>
      </w:pPr>
    </w:p>
    <w:p w14:paraId="532DEB93" w14:textId="38E3890D" w:rsidR="00397605" w:rsidRDefault="00397605" w:rsidP="004B30C0">
      <w:pPr>
        <w:rPr>
          <w:rFonts w:cs="Arial"/>
        </w:rPr>
      </w:pPr>
    </w:p>
    <w:p w14:paraId="0C0D88CC" w14:textId="63F8EBB0" w:rsidR="00FB118B" w:rsidRDefault="00FB118B" w:rsidP="004B30C0">
      <w:pPr>
        <w:rPr>
          <w:rFonts w:cs="Arial"/>
        </w:rPr>
      </w:pPr>
    </w:p>
    <w:p w14:paraId="5F76A716" w14:textId="65F4E343" w:rsidR="00FB118B" w:rsidRDefault="00FB118B" w:rsidP="004B30C0">
      <w:pPr>
        <w:rPr>
          <w:rFonts w:cs="Arial"/>
        </w:rPr>
      </w:pPr>
    </w:p>
    <w:p w14:paraId="7EBF6D3C" w14:textId="10CE8638" w:rsidR="00FB118B" w:rsidRDefault="00FB118B" w:rsidP="004B30C0">
      <w:pPr>
        <w:rPr>
          <w:rFonts w:cs="Arial"/>
        </w:rPr>
      </w:pPr>
    </w:p>
    <w:p w14:paraId="5DFFC9B7" w14:textId="77777777" w:rsidR="00FB118B" w:rsidRDefault="00FB118B" w:rsidP="004B30C0">
      <w:pPr>
        <w:rPr>
          <w:rFonts w:cs="Arial"/>
        </w:rPr>
      </w:pPr>
    </w:p>
    <w:p w14:paraId="576AA5CD" w14:textId="77777777" w:rsidR="004B30C0" w:rsidRDefault="004B30C0" w:rsidP="004B30C0">
      <w:pPr>
        <w:rPr>
          <w:rFonts w:cs="Arial"/>
        </w:rPr>
      </w:pPr>
    </w:p>
    <w:p w14:paraId="03285A4B" w14:textId="3F5924EB" w:rsidR="004B30C0" w:rsidRPr="004B30C0" w:rsidRDefault="004B30C0" w:rsidP="004B30C0">
      <w:pPr>
        <w:pStyle w:val="Heading1"/>
        <w:rPr>
          <w:rFonts w:ascii="Arial" w:hAnsi="Arial" w:cs="Arial"/>
          <w:b/>
          <w:color w:val="auto"/>
          <w:sz w:val="28"/>
          <w:szCs w:val="28"/>
        </w:rPr>
      </w:pPr>
      <w:bookmarkStart w:id="1" w:name="_Section_1:_Nature"/>
      <w:bookmarkEnd w:id="1"/>
      <w:r w:rsidRPr="004B30C0">
        <w:rPr>
          <w:rFonts w:ascii="Arial" w:hAnsi="Arial" w:cs="Arial"/>
          <w:b/>
          <w:color w:val="auto"/>
          <w:sz w:val="28"/>
          <w:szCs w:val="28"/>
        </w:rPr>
        <w:lastRenderedPageBreak/>
        <w:t xml:space="preserve">Section 1: </w:t>
      </w:r>
      <w:r w:rsidR="00A62C63">
        <w:rPr>
          <w:rFonts w:ascii="Arial" w:hAnsi="Arial" w:cs="Arial"/>
          <w:b/>
          <w:color w:val="auto"/>
          <w:sz w:val="28"/>
          <w:szCs w:val="28"/>
        </w:rPr>
        <w:t>The n</w:t>
      </w:r>
      <w:r w:rsidRPr="004B30C0">
        <w:rPr>
          <w:rFonts w:ascii="Arial" w:hAnsi="Arial" w:cs="Arial"/>
          <w:b/>
          <w:color w:val="auto"/>
          <w:sz w:val="28"/>
          <w:szCs w:val="28"/>
        </w:rPr>
        <w:t>ature of gender dysphoria</w:t>
      </w:r>
    </w:p>
    <w:p w14:paraId="0B72CE03" w14:textId="3785D42C" w:rsidR="004B30C0" w:rsidRDefault="004B30C0" w:rsidP="004B30C0">
      <w:pPr>
        <w:spacing w:before="240"/>
        <w:rPr>
          <w:rFonts w:cs="Arial"/>
        </w:rPr>
      </w:pPr>
      <w:r w:rsidRPr="1F033467">
        <w:rPr>
          <w:rFonts w:cs="Arial"/>
        </w:rPr>
        <w:t>In carrying out our exploratory work, we found that disagreement about what gender dysphoria is underlie</w:t>
      </w:r>
      <w:r w:rsidR="1B6C5C60" w:rsidRPr="1F033467">
        <w:rPr>
          <w:rFonts w:cs="Arial"/>
        </w:rPr>
        <w:t>s</w:t>
      </w:r>
      <w:r w:rsidRPr="1F033467">
        <w:rPr>
          <w:rFonts w:cs="Arial"/>
        </w:rPr>
        <w:t xml:space="preserve"> many of the disagreements about what the approach to care and treatment of young people should be. </w:t>
      </w:r>
      <w:r w:rsidR="003017AD" w:rsidRPr="1F033467">
        <w:rPr>
          <w:rFonts w:cs="Arial"/>
        </w:rPr>
        <w:t>Some people think that gender dysphoria is a medical condition, and explain it as a genetic, hormonal, neurodevelopmental</w:t>
      </w:r>
      <w:r w:rsidR="00945F4E" w:rsidRPr="1F033467">
        <w:rPr>
          <w:rFonts w:cs="Arial"/>
        </w:rPr>
        <w:t xml:space="preserve"> or </w:t>
      </w:r>
      <w:r w:rsidR="003017AD" w:rsidRPr="1F033467">
        <w:rPr>
          <w:rFonts w:cs="Arial"/>
        </w:rPr>
        <w:t>psychiatric</w:t>
      </w:r>
      <w:r w:rsidR="00945F4E" w:rsidRPr="1F033467">
        <w:rPr>
          <w:rFonts w:cs="Arial"/>
        </w:rPr>
        <w:t xml:space="preserve"> </w:t>
      </w:r>
      <w:r w:rsidR="003017AD" w:rsidRPr="1F033467">
        <w:rPr>
          <w:rFonts w:cs="Arial"/>
        </w:rPr>
        <w:t xml:space="preserve">condition. Other people reject the idea that gender dysphoria is a </w:t>
      </w:r>
      <w:r w:rsidR="137143F0" w:rsidRPr="1F033467">
        <w:rPr>
          <w:rFonts w:cs="Arial"/>
        </w:rPr>
        <w:t>medical condition</w:t>
      </w:r>
      <w:r w:rsidR="003017AD" w:rsidRPr="1F033467">
        <w:rPr>
          <w:rFonts w:cs="Arial"/>
        </w:rPr>
        <w:t xml:space="preserve">, and understand it as either a social construct or a normal variant of gender expression. </w:t>
      </w:r>
    </w:p>
    <w:p w14:paraId="4E560196" w14:textId="1FD24BC2" w:rsidR="004B30C0" w:rsidRDefault="004B30C0" w:rsidP="004B30C0">
      <w:pPr>
        <w:spacing w:before="240"/>
        <w:rPr>
          <w:rFonts w:cs="Arial"/>
        </w:rPr>
      </w:pPr>
      <w:r w:rsidRPr="33D48E37">
        <w:rPr>
          <w:rFonts w:cs="Arial"/>
        </w:rPr>
        <w:t>In the absence of clear evidence as to what causes gender dysphoria, it is unlikely that a single agreed view will be reached. That being the case, we want to understand views on</w:t>
      </w:r>
      <w:r w:rsidR="000425F1" w:rsidRPr="33D48E37">
        <w:rPr>
          <w:rFonts w:cs="Arial"/>
        </w:rPr>
        <w:t xml:space="preserve"> whether and</w:t>
      </w:r>
      <w:r w:rsidRPr="33D48E37">
        <w:rPr>
          <w:rFonts w:cs="Arial"/>
        </w:rPr>
        <w:t xml:space="preserve"> how a lack of consensus on what gender dysphoria is</w:t>
      </w:r>
      <w:r w:rsidR="0095573A">
        <w:rPr>
          <w:rFonts w:cs="Arial"/>
        </w:rPr>
        <w:t>,</w:t>
      </w:r>
      <w:r w:rsidRPr="33D48E37">
        <w:rPr>
          <w:rFonts w:cs="Arial"/>
        </w:rPr>
        <w:t xml:space="preserve"> and what causes it</w:t>
      </w:r>
      <w:r w:rsidR="0095573A">
        <w:rPr>
          <w:rFonts w:cs="Arial"/>
        </w:rPr>
        <w:t>,</w:t>
      </w:r>
      <w:r w:rsidRPr="33D48E37">
        <w:rPr>
          <w:rFonts w:cs="Arial"/>
        </w:rPr>
        <w:t xml:space="preserve"> should affect the approach to care and treatment</w:t>
      </w:r>
      <w:r w:rsidR="00A62C63">
        <w:rPr>
          <w:rFonts w:cs="Arial"/>
        </w:rPr>
        <w:t xml:space="preserve">. </w:t>
      </w:r>
    </w:p>
    <w:p w14:paraId="5487AFAF" w14:textId="7C7773C5" w:rsidR="004B30C0" w:rsidRDefault="0029655D" w:rsidP="004B30C0">
      <w:pPr>
        <w:pStyle w:val="ListParagraph"/>
        <w:numPr>
          <w:ilvl w:val="0"/>
          <w:numId w:val="5"/>
        </w:numPr>
        <w:spacing w:before="240" w:after="160" w:line="259" w:lineRule="auto"/>
        <w:rPr>
          <w:rFonts w:cs="Arial"/>
          <w:b/>
          <w:bCs/>
        </w:rPr>
      </w:pPr>
      <w:r w:rsidRPr="7EF5A3C6">
        <w:rPr>
          <w:rFonts w:cs="Arial"/>
          <w:b/>
          <w:bCs/>
        </w:rPr>
        <w:t>How should gender dysphoria be characterised</w:t>
      </w:r>
      <w:r w:rsidR="003D1775">
        <w:rPr>
          <w:rFonts w:cs="Arial"/>
          <w:b/>
          <w:bCs/>
        </w:rPr>
        <w:t>?</w:t>
      </w:r>
      <w:r w:rsidR="00274B88" w:rsidRPr="7EF5A3C6">
        <w:rPr>
          <w:rFonts w:cs="Arial"/>
          <w:b/>
          <w:bCs/>
        </w:rPr>
        <w:t xml:space="preserve"> </w:t>
      </w:r>
    </w:p>
    <w:p w14:paraId="746B9E65" w14:textId="77777777" w:rsidR="004B30C0" w:rsidRPr="001C6759" w:rsidRDefault="004B30C0" w:rsidP="004B30C0">
      <w:pPr>
        <w:pStyle w:val="ListParagraph"/>
        <w:spacing w:before="240" w:after="160" w:line="259" w:lineRule="auto"/>
        <w:rPr>
          <w:rFonts w:cs="Arial"/>
          <w:b/>
          <w:bCs/>
        </w:rPr>
      </w:pPr>
    </w:p>
    <w:tbl>
      <w:tblPr>
        <w:tblStyle w:val="TableGrid"/>
        <w:tblW w:w="0" w:type="auto"/>
        <w:tblInd w:w="720" w:type="dxa"/>
        <w:tblLook w:val="04A0" w:firstRow="1" w:lastRow="0" w:firstColumn="1" w:lastColumn="0" w:noHBand="0" w:noVBand="1"/>
      </w:tblPr>
      <w:tblGrid>
        <w:gridCol w:w="8296"/>
      </w:tblGrid>
      <w:tr w:rsidR="004B30C0" w14:paraId="177836A6" w14:textId="77777777" w:rsidTr="004B30C0">
        <w:tc>
          <w:tcPr>
            <w:tcW w:w="9016" w:type="dxa"/>
          </w:tcPr>
          <w:p w14:paraId="5FA87004" w14:textId="77777777" w:rsidR="004B30C0" w:rsidRDefault="004B30C0" w:rsidP="004B30C0">
            <w:pPr>
              <w:pStyle w:val="ListParagraph"/>
              <w:spacing w:before="240"/>
              <w:ind w:left="0"/>
            </w:pPr>
          </w:p>
          <w:p w14:paraId="5BDE35DF" w14:textId="77777777" w:rsidR="004B30C0" w:rsidRDefault="004B30C0" w:rsidP="004B30C0">
            <w:pPr>
              <w:pStyle w:val="ListParagraph"/>
              <w:spacing w:before="240"/>
              <w:ind w:left="0"/>
            </w:pPr>
          </w:p>
          <w:p w14:paraId="64FE13BC" w14:textId="77777777" w:rsidR="004B30C0" w:rsidRDefault="004B30C0" w:rsidP="004B30C0">
            <w:pPr>
              <w:pStyle w:val="ListParagraph"/>
              <w:spacing w:before="240"/>
              <w:ind w:left="0"/>
            </w:pPr>
          </w:p>
          <w:p w14:paraId="76C5A5D8" w14:textId="27B850BC" w:rsidR="008425DD" w:rsidRDefault="008425DD" w:rsidP="004B30C0">
            <w:pPr>
              <w:pStyle w:val="ListParagraph"/>
              <w:spacing w:before="240"/>
              <w:ind w:left="0"/>
            </w:pPr>
          </w:p>
        </w:tc>
      </w:tr>
    </w:tbl>
    <w:p w14:paraId="79D5366C" w14:textId="78582BA8" w:rsidR="004B30C0" w:rsidRPr="00673C0A" w:rsidRDefault="00673C0A" w:rsidP="00673C0A">
      <w:pPr>
        <w:pStyle w:val="ListParagraph"/>
        <w:numPr>
          <w:ilvl w:val="0"/>
          <w:numId w:val="5"/>
        </w:numPr>
        <w:spacing w:before="240"/>
        <w:rPr>
          <w:rFonts w:cs="Arial"/>
          <w:b/>
          <w:bCs/>
        </w:rPr>
      </w:pPr>
      <w:r>
        <w:rPr>
          <w:rFonts w:cs="Arial"/>
          <w:b/>
          <w:bCs/>
        </w:rPr>
        <w:t>In your view</w:t>
      </w:r>
      <w:r w:rsidRPr="00673C0A">
        <w:rPr>
          <w:b/>
          <w:bCs/>
        </w:rPr>
        <w:t>, how should young people with gender dysphoria be treated, cared for, or supported?</w:t>
      </w:r>
    </w:p>
    <w:p w14:paraId="4791D46F" w14:textId="408F8CE7" w:rsidR="00705DA8" w:rsidRDefault="00705DA8" w:rsidP="00705DA8">
      <w:pPr>
        <w:pStyle w:val="ListParagraph"/>
        <w:spacing w:before="240"/>
        <w:rPr>
          <w:rFonts w:cs="Arial"/>
          <w:b/>
          <w:bCs/>
        </w:rPr>
      </w:pPr>
    </w:p>
    <w:tbl>
      <w:tblPr>
        <w:tblStyle w:val="TableGrid"/>
        <w:tblW w:w="0" w:type="auto"/>
        <w:tblInd w:w="720" w:type="dxa"/>
        <w:tblLook w:val="04A0" w:firstRow="1" w:lastRow="0" w:firstColumn="1" w:lastColumn="0" w:noHBand="0" w:noVBand="1"/>
      </w:tblPr>
      <w:tblGrid>
        <w:gridCol w:w="8296"/>
      </w:tblGrid>
      <w:tr w:rsidR="00705DA8" w14:paraId="758154F8" w14:textId="77777777" w:rsidTr="00705DA8">
        <w:tc>
          <w:tcPr>
            <w:tcW w:w="9016" w:type="dxa"/>
          </w:tcPr>
          <w:p w14:paraId="56E8D91E" w14:textId="77777777" w:rsidR="00705DA8" w:rsidRDefault="00705DA8" w:rsidP="00705DA8">
            <w:pPr>
              <w:pStyle w:val="ListParagraph"/>
              <w:spacing w:before="240"/>
              <w:ind w:left="0"/>
              <w:rPr>
                <w:rFonts w:cs="Arial"/>
                <w:b/>
                <w:bCs/>
              </w:rPr>
            </w:pPr>
          </w:p>
          <w:p w14:paraId="12565D43" w14:textId="77777777" w:rsidR="00705DA8" w:rsidRDefault="00705DA8" w:rsidP="00705DA8">
            <w:pPr>
              <w:pStyle w:val="ListParagraph"/>
              <w:spacing w:before="240"/>
              <w:ind w:left="0"/>
              <w:rPr>
                <w:rFonts w:cs="Arial"/>
                <w:b/>
                <w:bCs/>
              </w:rPr>
            </w:pPr>
          </w:p>
          <w:p w14:paraId="5FF47A93" w14:textId="77777777" w:rsidR="00705DA8" w:rsidRDefault="00705DA8" w:rsidP="00705DA8">
            <w:pPr>
              <w:pStyle w:val="ListParagraph"/>
              <w:spacing w:before="240"/>
              <w:ind w:left="0"/>
              <w:rPr>
                <w:rFonts w:cs="Arial"/>
                <w:b/>
                <w:bCs/>
              </w:rPr>
            </w:pPr>
          </w:p>
          <w:p w14:paraId="24FC1368" w14:textId="16449428" w:rsidR="00705DA8" w:rsidRDefault="00705DA8" w:rsidP="00705DA8">
            <w:pPr>
              <w:pStyle w:val="ListParagraph"/>
              <w:spacing w:before="240"/>
              <w:ind w:left="0"/>
              <w:rPr>
                <w:rFonts w:cs="Arial"/>
                <w:b/>
                <w:bCs/>
              </w:rPr>
            </w:pPr>
          </w:p>
        </w:tc>
      </w:tr>
    </w:tbl>
    <w:p w14:paraId="440783C2" w14:textId="62B28CCC" w:rsidR="000171DE" w:rsidRPr="003D1775" w:rsidRDefault="000171DE" w:rsidP="003D1775">
      <w:pPr>
        <w:pStyle w:val="ListParagraph"/>
        <w:numPr>
          <w:ilvl w:val="0"/>
          <w:numId w:val="5"/>
        </w:numPr>
        <w:spacing w:before="240" w:after="160" w:line="259" w:lineRule="auto"/>
        <w:rPr>
          <w:rFonts w:cs="Arial"/>
          <w:b/>
          <w:bCs/>
        </w:rPr>
      </w:pPr>
      <w:r w:rsidRPr="003D1775">
        <w:rPr>
          <w:b/>
          <w:bCs/>
        </w:rPr>
        <w:t>Do you think that treatment and care of gender</w:t>
      </w:r>
      <w:r w:rsidR="00A62C63">
        <w:rPr>
          <w:b/>
          <w:bCs/>
        </w:rPr>
        <w:t xml:space="preserve"> </w:t>
      </w:r>
      <w:r w:rsidRPr="003D1775">
        <w:rPr>
          <w:b/>
          <w:bCs/>
        </w:rPr>
        <w:t xml:space="preserve">diverse young people  should take into account the deep disagreement about </w:t>
      </w:r>
      <w:r w:rsidR="003D1775" w:rsidRPr="003D1775">
        <w:rPr>
          <w:b/>
          <w:bCs/>
        </w:rPr>
        <w:t xml:space="preserve">the nature and causes of </w:t>
      </w:r>
      <w:r w:rsidRPr="003D1775">
        <w:rPr>
          <w:b/>
          <w:bCs/>
        </w:rPr>
        <w:t>gender dysphoria? If so, how?</w:t>
      </w:r>
    </w:p>
    <w:p w14:paraId="253EF021" w14:textId="77777777" w:rsidR="004B30C0" w:rsidRPr="001C6759" w:rsidRDefault="004B30C0" w:rsidP="004B30C0">
      <w:pPr>
        <w:pStyle w:val="ListParagraph"/>
        <w:spacing w:before="240" w:after="160" w:line="259" w:lineRule="auto"/>
        <w:rPr>
          <w:rFonts w:cs="Arial"/>
          <w:b/>
          <w:bCs/>
        </w:rPr>
      </w:pPr>
    </w:p>
    <w:tbl>
      <w:tblPr>
        <w:tblStyle w:val="TableGrid"/>
        <w:tblW w:w="0" w:type="auto"/>
        <w:tblInd w:w="720" w:type="dxa"/>
        <w:tblLook w:val="04A0" w:firstRow="1" w:lastRow="0" w:firstColumn="1" w:lastColumn="0" w:noHBand="0" w:noVBand="1"/>
      </w:tblPr>
      <w:tblGrid>
        <w:gridCol w:w="8296"/>
      </w:tblGrid>
      <w:tr w:rsidR="004B30C0" w14:paraId="5608CE39" w14:textId="77777777" w:rsidTr="004B30C0">
        <w:tc>
          <w:tcPr>
            <w:tcW w:w="9016" w:type="dxa"/>
          </w:tcPr>
          <w:p w14:paraId="7A8EE113" w14:textId="77777777" w:rsidR="004B30C0" w:rsidRDefault="004B30C0" w:rsidP="004B30C0">
            <w:pPr>
              <w:pStyle w:val="ListParagraph"/>
              <w:spacing w:before="240"/>
              <w:ind w:left="0"/>
            </w:pPr>
          </w:p>
          <w:p w14:paraId="565D93DB" w14:textId="02481287" w:rsidR="004B30C0" w:rsidRDefault="004B30C0" w:rsidP="004B30C0">
            <w:pPr>
              <w:pStyle w:val="ListParagraph"/>
              <w:spacing w:before="240"/>
              <w:ind w:left="0"/>
            </w:pPr>
          </w:p>
          <w:p w14:paraId="21FB88DB" w14:textId="77777777" w:rsidR="008425DD" w:rsidRDefault="008425DD" w:rsidP="004B30C0">
            <w:pPr>
              <w:pStyle w:val="ListParagraph"/>
              <w:spacing w:before="240"/>
              <w:ind w:left="0"/>
            </w:pPr>
          </w:p>
          <w:p w14:paraId="5EFE1F6F" w14:textId="77777777" w:rsidR="004B30C0" w:rsidRDefault="004B30C0" w:rsidP="004B30C0">
            <w:pPr>
              <w:pStyle w:val="ListParagraph"/>
              <w:spacing w:before="240"/>
              <w:ind w:left="0"/>
            </w:pPr>
          </w:p>
        </w:tc>
      </w:tr>
    </w:tbl>
    <w:p w14:paraId="7D146FB7" w14:textId="14E3279E" w:rsidR="005C5BBE" w:rsidRDefault="005C5BBE" w:rsidP="00965880">
      <w:bookmarkStart w:id="2" w:name="_Section_2:_The"/>
      <w:bookmarkEnd w:id="2"/>
    </w:p>
    <w:p w14:paraId="0A590F6A" w14:textId="77777777" w:rsidR="00EF73F9" w:rsidRPr="00965880" w:rsidRDefault="00EF73F9" w:rsidP="00965880"/>
    <w:p w14:paraId="1047C2A7" w14:textId="50590F4F" w:rsidR="004B30C0" w:rsidRPr="004B30C0" w:rsidRDefault="004B30C0" w:rsidP="1AF5E014">
      <w:pPr>
        <w:pStyle w:val="Heading1"/>
        <w:rPr>
          <w:rFonts w:ascii="Arial" w:hAnsi="Arial" w:cs="Arial"/>
          <w:b/>
          <w:bCs/>
          <w:color w:val="auto"/>
          <w:sz w:val="28"/>
          <w:szCs w:val="28"/>
        </w:rPr>
      </w:pPr>
      <w:r w:rsidRPr="7EF5A3C6">
        <w:rPr>
          <w:rFonts w:ascii="Arial" w:hAnsi="Arial" w:cs="Arial"/>
          <w:b/>
          <w:bCs/>
          <w:color w:val="auto"/>
          <w:sz w:val="28"/>
          <w:szCs w:val="28"/>
        </w:rPr>
        <w:lastRenderedPageBreak/>
        <w:t>Section 2: The social context</w:t>
      </w:r>
    </w:p>
    <w:p w14:paraId="0FDC96F2" w14:textId="77777777" w:rsidR="00274B88" w:rsidRDefault="004B30C0" w:rsidP="4D73643E">
      <w:pPr>
        <w:spacing w:before="240"/>
      </w:pPr>
      <w:r w:rsidRPr="12886CA8">
        <w:rPr>
          <w:rFonts w:cs="Arial"/>
        </w:rPr>
        <w:t>The number of young people being referred to gender identity services has increased significantly over the past ten years, both in the UK and internationally</w:t>
      </w:r>
      <w:r w:rsidR="7F121611" w:rsidRPr="12886CA8">
        <w:rPr>
          <w:rFonts w:cs="Arial"/>
        </w:rPr>
        <w:t xml:space="preserve">. </w:t>
      </w:r>
      <w:r w:rsidR="3924C150" w:rsidRPr="12886CA8">
        <w:rPr>
          <w:rFonts w:cs="Arial"/>
        </w:rPr>
        <w:t>T</w:t>
      </w:r>
      <w:r w:rsidRPr="12886CA8">
        <w:rPr>
          <w:rFonts w:cs="Arial"/>
        </w:rPr>
        <w:t>he</w:t>
      </w:r>
      <w:r w:rsidR="00DE6EE1" w:rsidRPr="12886CA8">
        <w:rPr>
          <w:rFonts w:cs="Arial"/>
        </w:rPr>
        <w:t xml:space="preserve">re has been an increase in the number </w:t>
      </w:r>
      <w:r w:rsidR="00694DC8" w:rsidRPr="12886CA8">
        <w:rPr>
          <w:rFonts w:cs="Arial"/>
        </w:rPr>
        <w:t>of</w:t>
      </w:r>
      <w:r w:rsidRPr="12886CA8">
        <w:rPr>
          <w:rFonts w:cs="Arial"/>
        </w:rPr>
        <w:t xml:space="preserve"> </w:t>
      </w:r>
      <w:r w:rsidR="00694DC8" w:rsidRPr="12886CA8">
        <w:rPr>
          <w:rFonts w:cs="Arial"/>
        </w:rPr>
        <w:t>referrals from</w:t>
      </w:r>
      <w:r w:rsidR="00B3539D">
        <w:rPr>
          <w:rFonts w:cs="Arial"/>
        </w:rPr>
        <w:t xml:space="preserve"> girls (sometimes referred to as </w:t>
      </w:r>
      <w:r w:rsidR="00B3539D">
        <w:t xml:space="preserve">natal girls, biological females, or those assigned female at birth). </w:t>
      </w:r>
    </w:p>
    <w:p w14:paraId="2C03327F" w14:textId="64FAC920" w:rsidR="004B30C0" w:rsidRDefault="442DADFE" w:rsidP="4D73643E">
      <w:pPr>
        <w:spacing w:before="240"/>
        <w:rPr>
          <w:rFonts w:cs="Arial"/>
        </w:rPr>
      </w:pPr>
      <w:r w:rsidRPr="12886CA8">
        <w:rPr>
          <w:rFonts w:cs="Arial"/>
        </w:rPr>
        <w:t>T</w:t>
      </w:r>
      <w:r w:rsidR="004B30C0" w:rsidRPr="12886CA8">
        <w:rPr>
          <w:rFonts w:cs="Arial"/>
        </w:rPr>
        <w:t>here are divergent views as to</w:t>
      </w:r>
      <w:r w:rsidR="008425DD" w:rsidRPr="12886CA8">
        <w:rPr>
          <w:rFonts w:cs="Arial"/>
        </w:rPr>
        <w:t xml:space="preserve"> the reasons for this.</w:t>
      </w:r>
      <w:r w:rsidR="000425F1" w:rsidRPr="12886CA8">
        <w:rPr>
          <w:rFonts w:cs="Arial"/>
        </w:rPr>
        <w:t xml:space="preserve"> Some think that</w:t>
      </w:r>
      <w:r w:rsidR="004B30C0" w:rsidRPr="12886CA8">
        <w:rPr>
          <w:rFonts w:cs="Arial"/>
        </w:rPr>
        <w:t xml:space="preserve"> gender dysphoria has always been prevalent among young people</w:t>
      </w:r>
      <w:r w:rsidR="000425F1" w:rsidRPr="12886CA8">
        <w:rPr>
          <w:rFonts w:cs="Arial"/>
        </w:rPr>
        <w:t xml:space="preserve">, </w:t>
      </w:r>
      <w:r w:rsidR="004B30C0" w:rsidRPr="12886CA8">
        <w:rPr>
          <w:rFonts w:cs="Arial"/>
        </w:rPr>
        <w:t xml:space="preserve">but </w:t>
      </w:r>
      <w:r w:rsidR="000425F1" w:rsidRPr="12886CA8">
        <w:rPr>
          <w:rFonts w:cs="Arial"/>
        </w:rPr>
        <w:t>was often un</w:t>
      </w:r>
      <w:r w:rsidR="004B30C0" w:rsidRPr="12886CA8">
        <w:rPr>
          <w:rFonts w:cs="Arial"/>
        </w:rPr>
        <w:t>recognised or repressed</w:t>
      </w:r>
      <w:r w:rsidR="000425F1" w:rsidRPr="12886CA8">
        <w:rPr>
          <w:rFonts w:cs="Arial"/>
        </w:rPr>
        <w:t xml:space="preserve">. Others think </w:t>
      </w:r>
      <w:r w:rsidR="004B30C0" w:rsidRPr="12886CA8">
        <w:rPr>
          <w:rFonts w:cs="Arial"/>
        </w:rPr>
        <w:t>it is a new phenomenon</w:t>
      </w:r>
      <w:r w:rsidR="000425F1" w:rsidRPr="12886CA8">
        <w:rPr>
          <w:rFonts w:cs="Arial"/>
        </w:rPr>
        <w:t>,</w:t>
      </w:r>
      <w:r w:rsidR="004B30C0" w:rsidRPr="12886CA8">
        <w:rPr>
          <w:rFonts w:cs="Arial"/>
        </w:rPr>
        <w:t xml:space="preserve"> specific to </w:t>
      </w:r>
      <w:r w:rsidR="00111ED5" w:rsidRPr="12886CA8">
        <w:rPr>
          <w:rFonts w:cs="Arial"/>
        </w:rPr>
        <w:t xml:space="preserve">today’s social context. </w:t>
      </w:r>
      <w:r w:rsidR="004B30C0" w:rsidRPr="12886CA8">
        <w:rPr>
          <w:rFonts w:cs="Arial"/>
        </w:rPr>
        <w:t>Various social factors</w:t>
      </w:r>
      <w:r w:rsidR="41DFCA03" w:rsidRPr="12886CA8">
        <w:rPr>
          <w:rFonts w:cs="Arial"/>
        </w:rPr>
        <w:t xml:space="preserve"> and</w:t>
      </w:r>
      <w:r w:rsidR="5F891CB2" w:rsidRPr="12886CA8">
        <w:rPr>
          <w:rFonts w:cs="Arial"/>
        </w:rPr>
        <w:t xml:space="preserve"> </w:t>
      </w:r>
      <w:r w:rsidR="004B30C0" w:rsidRPr="12886CA8">
        <w:rPr>
          <w:rFonts w:cs="Arial"/>
        </w:rPr>
        <w:t>societal changes have been</w:t>
      </w:r>
      <w:r w:rsidR="00F744CB">
        <w:rPr>
          <w:rFonts w:cs="Arial"/>
        </w:rPr>
        <w:t xml:space="preserve"> suggested as</w:t>
      </w:r>
      <w:r w:rsidR="004B30C0" w:rsidRPr="12886CA8">
        <w:rPr>
          <w:rFonts w:cs="Arial"/>
        </w:rPr>
        <w:t xml:space="preserve"> play</w:t>
      </w:r>
      <w:r w:rsidR="00F744CB">
        <w:rPr>
          <w:rFonts w:cs="Arial"/>
        </w:rPr>
        <w:t>ing</w:t>
      </w:r>
      <w:r w:rsidR="00055C92" w:rsidRPr="12886CA8">
        <w:rPr>
          <w:rFonts w:cs="Arial"/>
        </w:rPr>
        <w:t xml:space="preserve"> </w:t>
      </w:r>
      <w:r w:rsidR="004B30C0" w:rsidRPr="12886CA8">
        <w:rPr>
          <w:rFonts w:cs="Arial"/>
        </w:rPr>
        <w:t>a role in the number of those seeking treatment or contributing to how gender dysphoria is perceived and understood</w:t>
      </w:r>
      <w:r w:rsidR="00F744CB">
        <w:rPr>
          <w:rFonts w:cs="Arial"/>
        </w:rPr>
        <w:t>, including:</w:t>
      </w:r>
      <w:r w:rsidR="004B30C0" w:rsidRPr="12886CA8">
        <w:rPr>
          <w:rFonts w:cs="Arial"/>
        </w:rPr>
        <w:t xml:space="preserve"> </w:t>
      </w:r>
    </w:p>
    <w:p w14:paraId="11B503F6" w14:textId="7FC2EFED" w:rsidR="004B30C0" w:rsidRPr="001C6759" w:rsidRDefault="004B30C0" w:rsidP="004B30C0">
      <w:pPr>
        <w:pStyle w:val="ListParagraph"/>
        <w:numPr>
          <w:ilvl w:val="0"/>
          <w:numId w:val="9"/>
        </w:numPr>
        <w:spacing w:before="240" w:after="160" w:line="259" w:lineRule="auto"/>
        <w:rPr>
          <w:rFonts w:cs="Arial"/>
        </w:rPr>
      </w:pPr>
      <w:r w:rsidRPr="1BEA4369">
        <w:rPr>
          <w:rFonts w:cs="Arial"/>
        </w:rPr>
        <w:t xml:space="preserve">shifting social attitudes towards sex and gender; </w:t>
      </w:r>
    </w:p>
    <w:p w14:paraId="6865B554" w14:textId="77777777" w:rsidR="004B30C0" w:rsidRDefault="004B30C0" w:rsidP="004B30C0">
      <w:pPr>
        <w:pStyle w:val="ListParagraph"/>
        <w:spacing w:before="240" w:after="160" w:line="259" w:lineRule="auto"/>
        <w:rPr>
          <w:rFonts w:cs="Arial"/>
        </w:rPr>
      </w:pPr>
    </w:p>
    <w:p w14:paraId="20EA43DD" w14:textId="72A80C54" w:rsidR="004B30C0" w:rsidRPr="001C6759" w:rsidRDefault="00FA1334" w:rsidP="004B30C0">
      <w:pPr>
        <w:pStyle w:val="ListParagraph"/>
        <w:numPr>
          <w:ilvl w:val="0"/>
          <w:numId w:val="9"/>
        </w:numPr>
        <w:spacing w:before="240" w:after="160" w:line="259" w:lineRule="auto"/>
        <w:rPr>
          <w:rFonts w:cs="Arial"/>
        </w:rPr>
      </w:pPr>
      <w:r>
        <w:rPr>
          <w:rFonts w:cs="Arial"/>
        </w:rPr>
        <w:t>intense sexualisation and objectification of women associated with female puberty and womanhood;</w:t>
      </w:r>
    </w:p>
    <w:p w14:paraId="563A41C9" w14:textId="77777777" w:rsidR="004B30C0" w:rsidRDefault="004B30C0" w:rsidP="004B30C0">
      <w:pPr>
        <w:pStyle w:val="ListParagraph"/>
        <w:spacing w:before="240" w:after="160" w:line="259" w:lineRule="auto"/>
        <w:rPr>
          <w:rFonts w:cs="Arial"/>
        </w:rPr>
      </w:pPr>
    </w:p>
    <w:p w14:paraId="13FAA752" w14:textId="77777777" w:rsidR="004B30C0" w:rsidRPr="001C6759" w:rsidRDefault="004B30C0" w:rsidP="004B30C0">
      <w:pPr>
        <w:pStyle w:val="ListParagraph"/>
        <w:numPr>
          <w:ilvl w:val="0"/>
          <w:numId w:val="9"/>
        </w:numPr>
        <w:spacing w:before="240" w:after="160" w:line="259" w:lineRule="auto"/>
        <w:rPr>
          <w:rFonts w:cs="Arial"/>
        </w:rPr>
      </w:pPr>
      <w:r>
        <w:rPr>
          <w:rFonts w:cs="Arial"/>
        </w:rPr>
        <w:t>increased visibility of transgender individuals in public life and coverage of trans issues in the media;</w:t>
      </w:r>
    </w:p>
    <w:p w14:paraId="11F1AC77" w14:textId="77777777" w:rsidR="004B30C0" w:rsidRDefault="004B30C0" w:rsidP="004B30C0">
      <w:pPr>
        <w:pStyle w:val="ListParagraph"/>
        <w:spacing w:before="240" w:after="160" w:line="259" w:lineRule="auto"/>
        <w:rPr>
          <w:rFonts w:cs="Arial"/>
        </w:rPr>
      </w:pPr>
    </w:p>
    <w:p w14:paraId="7F720321" w14:textId="77777777" w:rsidR="004B30C0" w:rsidRPr="001C6759" w:rsidRDefault="004B30C0" w:rsidP="004B30C0">
      <w:pPr>
        <w:pStyle w:val="ListParagraph"/>
        <w:numPr>
          <w:ilvl w:val="0"/>
          <w:numId w:val="9"/>
        </w:numPr>
        <w:spacing w:before="240" w:after="160" w:line="259" w:lineRule="auto"/>
        <w:rPr>
          <w:rFonts w:cs="Arial"/>
        </w:rPr>
      </w:pPr>
      <w:r>
        <w:rPr>
          <w:rFonts w:cs="Arial"/>
        </w:rPr>
        <w:t xml:space="preserve">social pressures to conform, or not conform, to gender norms; </w:t>
      </w:r>
    </w:p>
    <w:p w14:paraId="53EF0824" w14:textId="77777777" w:rsidR="004B30C0" w:rsidRDefault="004B30C0" w:rsidP="004B30C0">
      <w:pPr>
        <w:pStyle w:val="ListParagraph"/>
        <w:spacing w:before="240" w:after="160" w:line="259" w:lineRule="auto"/>
        <w:rPr>
          <w:rFonts w:cs="Arial"/>
        </w:rPr>
      </w:pPr>
    </w:p>
    <w:p w14:paraId="670F4D35" w14:textId="2D3DCEB4" w:rsidR="00C07905" w:rsidRPr="00C07905" w:rsidRDefault="004B30C0" w:rsidP="00C07905">
      <w:pPr>
        <w:pStyle w:val="ListParagraph"/>
        <w:numPr>
          <w:ilvl w:val="0"/>
          <w:numId w:val="9"/>
        </w:numPr>
        <w:spacing w:before="240" w:after="160" w:line="259" w:lineRule="auto"/>
        <w:rPr>
          <w:rFonts w:cs="Arial"/>
        </w:rPr>
      </w:pPr>
      <w:r w:rsidRPr="00C07905">
        <w:rPr>
          <w:rFonts w:cs="Arial"/>
        </w:rPr>
        <w:t>experience of homophobic or other types of abuse and bullying</w:t>
      </w:r>
      <w:r w:rsidR="00C07905">
        <w:rPr>
          <w:rFonts w:cs="Arial"/>
        </w:rPr>
        <w:t>;</w:t>
      </w:r>
    </w:p>
    <w:p w14:paraId="3A6DAEC1" w14:textId="77777777" w:rsidR="00C07905" w:rsidRDefault="00C07905" w:rsidP="00C07905">
      <w:pPr>
        <w:pStyle w:val="ListParagraph"/>
        <w:spacing w:before="240" w:after="160" w:line="259" w:lineRule="auto"/>
        <w:rPr>
          <w:rFonts w:cs="Arial"/>
        </w:rPr>
      </w:pPr>
    </w:p>
    <w:p w14:paraId="5883B89C" w14:textId="372FA8DB" w:rsidR="004B30C0" w:rsidRPr="007B7CE9" w:rsidRDefault="004B30C0" w:rsidP="004B30C0">
      <w:pPr>
        <w:pStyle w:val="ListParagraph"/>
        <w:numPr>
          <w:ilvl w:val="0"/>
          <w:numId w:val="9"/>
        </w:numPr>
        <w:spacing w:before="240" w:after="160" w:line="259" w:lineRule="auto"/>
        <w:rPr>
          <w:rFonts w:cs="Arial"/>
        </w:rPr>
      </w:pPr>
      <w:r w:rsidRPr="1BEA4369">
        <w:rPr>
          <w:rFonts w:cs="Arial"/>
        </w:rPr>
        <w:t>the significant role that social media and the internet play in young people’s lives - which</w:t>
      </w:r>
      <w:r w:rsidR="003B5FC1">
        <w:rPr>
          <w:rFonts w:cs="Arial"/>
        </w:rPr>
        <w:t xml:space="preserve">, alternatively, upholds and enforces traditional gender norms; </w:t>
      </w:r>
      <w:r w:rsidRPr="1BEA4369">
        <w:rPr>
          <w:rFonts w:cs="Arial"/>
        </w:rPr>
        <w:t xml:space="preserve"> offer</w:t>
      </w:r>
      <w:r w:rsidR="003B5FC1">
        <w:rPr>
          <w:rFonts w:cs="Arial"/>
        </w:rPr>
        <w:t>s</w:t>
      </w:r>
      <w:r w:rsidRPr="1BEA4369">
        <w:rPr>
          <w:rFonts w:cs="Arial"/>
        </w:rPr>
        <w:t xml:space="preserve"> opportunities for self-expression and the chance to find supportive communities</w:t>
      </w:r>
      <w:r w:rsidR="003B5FC1">
        <w:rPr>
          <w:rFonts w:cs="Arial"/>
        </w:rPr>
        <w:t>;</w:t>
      </w:r>
      <w:r w:rsidRPr="1BEA4369">
        <w:rPr>
          <w:rFonts w:cs="Arial"/>
        </w:rPr>
        <w:t xml:space="preserve"> or</w:t>
      </w:r>
      <w:r w:rsidR="003B5FC1">
        <w:rPr>
          <w:rFonts w:cs="Arial"/>
        </w:rPr>
        <w:t xml:space="preserve"> </w:t>
      </w:r>
      <w:r w:rsidRPr="1BEA4369">
        <w:rPr>
          <w:rFonts w:cs="Arial"/>
        </w:rPr>
        <w:t>contribute</w:t>
      </w:r>
      <w:r w:rsidR="003B5FC1">
        <w:rPr>
          <w:rFonts w:cs="Arial"/>
        </w:rPr>
        <w:t>s</w:t>
      </w:r>
      <w:r w:rsidRPr="1BEA4369">
        <w:rPr>
          <w:rFonts w:cs="Arial"/>
        </w:rPr>
        <w:t xml:space="preserve"> to what some have called a </w:t>
      </w:r>
      <w:r w:rsidR="00BD2E55">
        <w:rPr>
          <w:rFonts w:cs="Arial"/>
        </w:rPr>
        <w:t>‘</w:t>
      </w:r>
      <w:r w:rsidRPr="1BEA4369">
        <w:rPr>
          <w:rFonts w:cs="Arial"/>
        </w:rPr>
        <w:t>social contagion</w:t>
      </w:r>
      <w:r w:rsidR="00BD2E55">
        <w:rPr>
          <w:rFonts w:cs="Arial"/>
        </w:rPr>
        <w:t>’</w:t>
      </w:r>
      <w:r w:rsidRPr="1BEA4369">
        <w:rPr>
          <w:rFonts w:cs="Arial"/>
        </w:rPr>
        <w:t xml:space="preserve"> of gender dysphoria. </w:t>
      </w:r>
    </w:p>
    <w:p w14:paraId="504E0FD0" w14:textId="77777777" w:rsidR="004B30C0" w:rsidRDefault="004B30C0" w:rsidP="004B30C0">
      <w:pPr>
        <w:pStyle w:val="ListParagraph"/>
        <w:rPr>
          <w:rFonts w:cs="Arial"/>
          <w:b/>
          <w:bCs/>
          <w:highlight w:val="yellow"/>
        </w:rPr>
      </w:pPr>
    </w:p>
    <w:p w14:paraId="5DC181EA" w14:textId="6501E64B" w:rsidR="004B30C0" w:rsidRDefault="000425F1" w:rsidP="004B30C0">
      <w:pPr>
        <w:pStyle w:val="ListParagraph"/>
        <w:numPr>
          <w:ilvl w:val="0"/>
          <w:numId w:val="5"/>
        </w:numPr>
        <w:spacing w:after="160" w:line="259" w:lineRule="auto"/>
        <w:rPr>
          <w:rFonts w:cs="Arial"/>
          <w:b/>
          <w:bCs/>
        </w:rPr>
      </w:pPr>
      <w:r w:rsidRPr="1BEA4369">
        <w:rPr>
          <w:rFonts w:cs="Arial"/>
          <w:b/>
          <w:bCs/>
        </w:rPr>
        <w:t>In your view,</w:t>
      </w:r>
      <w:r w:rsidR="003D7103" w:rsidRPr="1BEA4369">
        <w:rPr>
          <w:rFonts w:cs="Arial"/>
          <w:b/>
          <w:bCs/>
        </w:rPr>
        <w:t xml:space="preserve"> what </w:t>
      </w:r>
      <w:r w:rsidR="004B30C0" w:rsidRPr="1BEA4369">
        <w:rPr>
          <w:rFonts w:cs="Arial"/>
          <w:b/>
          <w:bCs/>
        </w:rPr>
        <w:t>social factors are</w:t>
      </w:r>
      <w:r w:rsidR="00055C92">
        <w:rPr>
          <w:rFonts w:cs="Arial"/>
          <w:b/>
          <w:bCs/>
        </w:rPr>
        <w:t xml:space="preserve"> most</w:t>
      </w:r>
      <w:r w:rsidR="004B30C0" w:rsidRPr="1BEA4369">
        <w:rPr>
          <w:rFonts w:cs="Arial"/>
          <w:b/>
          <w:bCs/>
        </w:rPr>
        <w:t xml:space="preserve"> relevant to the discussion about gender identity in children and adolescents?</w:t>
      </w:r>
      <w:r w:rsidR="003D7103" w:rsidRPr="1BEA4369">
        <w:rPr>
          <w:rFonts w:cs="Arial"/>
          <w:b/>
          <w:bCs/>
        </w:rPr>
        <w:t xml:space="preserve"> </w:t>
      </w:r>
      <w:r w:rsidR="004B30C0" w:rsidRPr="1BEA4369">
        <w:rPr>
          <w:rFonts w:cs="Arial"/>
          <w:b/>
          <w:bCs/>
        </w:rPr>
        <w:t>How might these contribute to:</w:t>
      </w:r>
    </w:p>
    <w:p w14:paraId="63A1E8AA" w14:textId="77777777" w:rsidR="004B30C0" w:rsidRDefault="004B30C0" w:rsidP="004B30C0">
      <w:pPr>
        <w:pStyle w:val="ListParagraph"/>
        <w:spacing w:after="160" w:line="259" w:lineRule="auto"/>
        <w:ind w:left="1080"/>
        <w:rPr>
          <w:rFonts w:cs="Arial"/>
          <w:b/>
          <w:bCs/>
        </w:rPr>
      </w:pPr>
      <w:r>
        <w:rPr>
          <w:rFonts w:cs="Arial"/>
          <w:b/>
          <w:bCs/>
        </w:rPr>
        <w:t xml:space="preserve"> </w:t>
      </w:r>
    </w:p>
    <w:p w14:paraId="5567A8DC" w14:textId="44ED8CDB" w:rsidR="004B30C0" w:rsidRDefault="004B30C0" w:rsidP="004B30C0">
      <w:pPr>
        <w:pStyle w:val="ListParagraph"/>
        <w:numPr>
          <w:ilvl w:val="0"/>
          <w:numId w:val="11"/>
        </w:numPr>
        <w:spacing w:after="160" w:line="259" w:lineRule="auto"/>
        <w:rPr>
          <w:rFonts w:cs="Arial"/>
          <w:b/>
          <w:bCs/>
        </w:rPr>
      </w:pPr>
      <w:r w:rsidRPr="79F9F22E">
        <w:rPr>
          <w:rFonts w:cs="Arial"/>
          <w:b/>
          <w:bCs/>
        </w:rPr>
        <w:t xml:space="preserve">the onset or expression of gender dysphoria in children and adolescents; </w:t>
      </w:r>
      <w:r w:rsidR="10507F55" w:rsidRPr="79F9F22E">
        <w:rPr>
          <w:rFonts w:cs="Arial"/>
          <w:b/>
          <w:bCs/>
        </w:rPr>
        <w:t>and</w:t>
      </w:r>
    </w:p>
    <w:p w14:paraId="04C5D75E" w14:textId="77777777" w:rsidR="004B30C0" w:rsidRDefault="004B30C0" w:rsidP="004B30C0">
      <w:pPr>
        <w:pStyle w:val="ListParagraph"/>
        <w:spacing w:after="160" w:line="259" w:lineRule="auto"/>
        <w:ind w:left="1080"/>
        <w:rPr>
          <w:rFonts w:cs="Arial"/>
          <w:b/>
          <w:bCs/>
        </w:rPr>
      </w:pPr>
    </w:p>
    <w:p w14:paraId="078F054A" w14:textId="0E40104E" w:rsidR="005C3AE3" w:rsidRPr="00A62C63" w:rsidRDefault="004B30C0" w:rsidP="00A62C63">
      <w:pPr>
        <w:pStyle w:val="ListParagraph"/>
        <w:numPr>
          <w:ilvl w:val="0"/>
          <w:numId w:val="11"/>
        </w:numPr>
        <w:spacing w:after="160" w:line="259" w:lineRule="auto"/>
        <w:rPr>
          <w:rFonts w:cs="Arial"/>
          <w:b/>
          <w:bCs/>
        </w:rPr>
      </w:pPr>
      <w:r>
        <w:rPr>
          <w:rFonts w:cs="Arial"/>
          <w:b/>
          <w:bCs/>
        </w:rPr>
        <w:t>the way gender dysphoria is understood and perceived in society?</w:t>
      </w:r>
    </w:p>
    <w:p w14:paraId="25A1417B" w14:textId="77777777" w:rsidR="004B30C0" w:rsidRDefault="004B30C0" w:rsidP="004B30C0">
      <w:pPr>
        <w:pStyle w:val="ListParagraph"/>
        <w:rPr>
          <w:rFonts w:cs="Arial"/>
          <w:b/>
          <w:bCs/>
          <w:highlight w:val="yellow"/>
        </w:rPr>
      </w:pPr>
    </w:p>
    <w:tbl>
      <w:tblPr>
        <w:tblStyle w:val="TableGrid"/>
        <w:tblW w:w="0" w:type="auto"/>
        <w:tblInd w:w="720" w:type="dxa"/>
        <w:tblLook w:val="04A0" w:firstRow="1" w:lastRow="0" w:firstColumn="1" w:lastColumn="0" w:noHBand="0" w:noVBand="1"/>
      </w:tblPr>
      <w:tblGrid>
        <w:gridCol w:w="8296"/>
      </w:tblGrid>
      <w:tr w:rsidR="004B30C0" w14:paraId="07CAB75A" w14:textId="77777777" w:rsidTr="004B30C0">
        <w:tc>
          <w:tcPr>
            <w:tcW w:w="9016" w:type="dxa"/>
          </w:tcPr>
          <w:p w14:paraId="3659CDEC" w14:textId="77777777" w:rsidR="004B30C0" w:rsidRDefault="004B30C0" w:rsidP="004B30C0">
            <w:pPr>
              <w:pStyle w:val="ListParagraph"/>
              <w:ind w:left="0"/>
              <w:rPr>
                <w:b/>
                <w:bCs/>
                <w:highlight w:val="yellow"/>
              </w:rPr>
            </w:pPr>
          </w:p>
          <w:p w14:paraId="2E3DA017" w14:textId="0F03C5A2" w:rsidR="004B30C0" w:rsidRDefault="004B30C0" w:rsidP="004B30C0">
            <w:pPr>
              <w:pStyle w:val="ListParagraph"/>
              <w:ind w:left="0"/>
              <w:rPr>
                <w:b/>
                <w:bCs/>
                <w:highlight w:val="yellow"/>
              </w:rPr>
            </w:pPr>
          </w:p>
          <w:p w14:paraId="1EC188B5" w14:textId="77777777" w:rsidR="008425DD" w:rsidRDefault="008425DD" w:rsidP="004B30C0">
            <w:pPr>
              <w:pStyle w:val="ListParagraph"/>
              <w:ind w:left="0"/>
              <w:rPr>
                <w:b/>
                <w:bCs/>
                <w:highlight w:val="yellow"/>
              </w:rPr>
            </w:pPr>
          </w:p>
          <w:p w14:paraId="0D336588" w14:textId="77777777" w:rsidR="004B30C0" w:rsidRDefault="004B30C0" w:rsidP="004B30C0">
            <w:pPr>
              <w:pStyle w:val="ListParagraph"/>
              <w:ind w:left="0"/>
              <w:rPr>
                <w:b/>
                <w:bCs/>
                <w:highlight w:val="yellow"/>
              </w:rPr>
            </w:pPr>
          </w:p>
        </w:tc>
      </w:tr>
    </w:tbl>
    <w:p w14:paraId="06E899DE" w14:textId="77777777" w:rsidR="004B30C0" w:rsidRPr="007B7CE9" w:rsidRDefault="004B30C0" w:rsidP="004B30C0">
      <w:pPr>
        <w:rPr>
          <w:rFonts w:cs="Arial"/>
          <w:b/>
          <w:bCs/>
          <w:highlight w:val="yellow"/>
        </w:rPr>
      </w:pPr>
    </w:p>
    <w:p w14:paraId="24638688" w14:textId="1C97837B" w:rsidR="004B30C0" w:rsidRPr="00BB5949" w:rsidRDefault="00111ED5" w:rsidP="004B30C0">
      <w:pPr>
        <w:pStyle w:val="ListParagraph"/>
        <w:numPr>
          <w:ilvl w:val="0"/>
          <w:numId w:val="5"/>
        </w:numPr>
        <w:spacing w:after="160" w:line="259" w:lineRule="auto"/>
        <w:rPr>
          <w:rFonts w:cs="Arial"/>
          <w:b/>
          <w:bCs/>
        </w:rPr>
      </w:pPr>
      <w:r>
        <w:rPr>
          <w:rFonts w:cs="Arial"/>
          <w:b/>
          <w:bCs/>
        </w:rPr>
        <w:t>How</w:t>
      </w:r>
      <w:r w:rsidR="004B30C0" w:rsidRPr="00BB5949">
        <w:rPr>
          <w:rFonts w:cs="Arial"/>
          <w:b/>
          <w:bCs/>
        </w:rPr>
        <w:t xml:space="preserve"> </w:t>
      </w:r>
      <w:r>
        <w:rPr>
          <w:rFonts w:cs="Arial"/>
          <w:b/>
          <w:bCs/>
        </w:rPr>
        <w:t>might</w:t>
      </w:r>
      <w:r w:rsidR="004B30C0" w:rsidRPr="00BB5949">
        <w:rPr>
          <w:rFonts w:cs="Arial"/>
          <w:b/>
          <w:bCs/>
        </w:rPr>
        <w:t xml:space="preserve"> the social factors you have identified affect whether, what, and how care and treatment is provided to children and adolescents? </w:t>
      </w:r>
    </w:p>
    <w:p w14:paraId="192CE1AE" w14:textId="77777777" w:rsidR="004B30C0" w:rsidRDefault="004B30C0" w:rsidP="004B30C0">
      <w:pPr>
        <w:pStyle w:val="ListParagraph"/>
        <w:rPr>
          <w:rFonts w:cs="Arial"/>
          <w:b/>
          <w:bCs/>
          <w:highlight w:val="yellow"/>
        </w:rPr>
      </w:pPr>
    </w:p>
    <w:tbl>
      <w:tblPr>
        <w:tblStyle w:val="TableGrid"/>
        <w:tblW w:w="0" w:type="auto"/>
        <w:tblInd w:w="720" w:type="dxa"/>
        <w:tblLook w:val="04A0" w:firstRow="1" w:lastRow="0" w:firstColumn="1" w:lastColumn="0" w:noHBand="0" w:noVBand="1"/>
      </w:tblPr>
      <w:tblGrid>
        <w:gridCol w:w="8296"/>
      </w:tblGrid>
      <w:tr w:rsidR="004B30C0" w14:paraId="1EB3CE3F" w14:textId="77777777" w:rsidTr="004B30C0">
        <w:tc>
          <w:tcPr>
            <w:tcW w:w="9016" w:type="dxa"/>
          </w:tcPr>
          <w:p w14:paraId="69DA949E" w14:textId="77777777" w:rsidR="004B30C0" w:rsidRDefault="004B30C0" w:rsidP="004B30C0">
            <w:pPr>
              <w:pStyle w:val="ListParagraph"/>
              <w:ind w:left="0"/>
              <w:rPr>
                <w:b/>
                <w:bCs/>
                <w:highlight w:val="yellow"/>
              </w:rPr>
            </w:pPr>
          </w:p>
          <w:p w14:paraId="01846B63" w14:textId="01A64BB8" w:rsidR="004B30C0" w:rsidRDefault="004B30C0" w:rsidP="004B30C0">
            <w:pPr>
              <w:pStyle w:val="ListParagraph"/>
              <w:ind w:left="0"/>
              <w:rPr>
                <w:b/>
                <w:bCs/>
                <w:highlight w:val="yellow"/>
              </w:rPr>
            </w:pPr>
          </w:p>
          <w:p w14:paraId="63B37BA7" w14:textId="77777777" w:rsidR="008425DD" w:rsidRDefault="008425DD" w:rsidP="004B30C0">
            <w:pPr>
              <w:pStyle w:val="ListParagraph"/>
              <w:ind w:left="0"/>
              <w:rPr>
                <w:b/>
                <w:bCs/>
                <w:highlight w:val="yellow"/>
              </w:rPr>
            </w:pPr>
          </w:p>
          <w:p w14:paraId="50185D5A" w14:textId="77777777" w:rsidR="004B30C0" w:rsidRDefault="004B30C0" w:rsidP="004B30C0">
            <w:pPr>
              <w:pStyle w:val="ListParagraph"/>
              <w:ind w:left="0"/>
              <w:rPr>
                <w:b/>
                <w:bCs/>
                <w:highlight w:val="yellow"/>
              </w:rPr>
            </w:pPr>
          </w:p>
          <w:p w14:paraId="51C21BDD" w14:textId="77777777" w:rsidR="004B30C0" w:rsidRDefault="004B30C0" w:rsidP="004B30C0">
            <w:pPr>
              <w:pStyle w:val="ListParagraph"/>
              <w:ind w:left="0"/>
              <w:rPr>
                <w:b/>
                <w:bCs/>
                <w:highlight w:val="yellow"/>
              </w:rPr>
            </w:pPr>
          </w:p>
        </w:tc>
      </w:tr>
    </w:tbl>
    <w:p w14:paraId="72FBFC02" w14:textId="77777777" w:rsidR="004B30C0" w:rsidRDefault="004B30C0" w:rsidP="004B30C0">
      <w:pPr>
        <w:rPr>
          <w:rFonts w:cs="Arial"/>
          <w:b/>
          <w:bCs/>
          <w:highlight w:val="yellow"/>
        </w:rPr>
      </w:pPr>
    </w:p>
    <w:p w14:paraId="5A13200B" w14:textId="2AC12695" w:rsidR="004B30C0" w:rsidRDefault="004B30C0" w:rsidP="004B30C0">
      <w:pPr>
        <w:pStyle w:val="ListParagraph"/>
        <w:rPr>
          <w:rFonts w:cs="Arial"/>
          <w:b/>
          <w:bCs/>
          <w:highlight w:val="yellow"/>
        </w:rPr>
      </w:pPr>
    </w:p>
    <w:p w14:paraId="4EF1DAC6" w14:textId="2F62C40F" w:rsidR="004B30C0" w:rsidRDefault="004B30C0" w:rsidP="004B30C0">
      <w:pPr>
        <w:pStyle w:val="ListParagraph"/>
        <w:rPr>
          <w:rFonts w:cs="Arial"/>
          <w:b/>
          <w:bCs/>
          <w:highlight w:val="yellow"/>
        </w:rPr>
      </w:pPr>
    </w:p>
    <w:p w14:paraId="7B083D07" w14:textId="061A1D9F" w:rsidR="004B30C0" w:rsidRDefault="004B30C0" w:rsidP="004B30C0">
      <w:pPr>
        <w:pStyle w:val="ListParagraph"/>
        <w:rPr>
          <w:rFonts w:cs="Arial"/>
          <w:b/>
          <w:bCs/>
          <w:highlight w:val="yellow"/>
        </w:rPr>
      </w:pPr>
    </w:p>
    <w:p w14:paraId="32EF1BC7" w14:textId="1A0971EB" w:rsidR="004B30C0" w:rsidRDefault="004B30C0" w:rsidP="004B30C0">
      <w:pPr>
        <w:pStyle w:val="ListParagraph"/>
        <w:rPr>
          <w:rFonts w:cs="Arial"/>
          <w:b/>
          <w:bCs/>
          <w:highlight w:val="yellow"/>
        </w:rPr>
      </w:pPr>
    </w:p>
    <w:p w14:paraId="776408ED" w14:textId="53B77404" w:rsidR="004B30C0" w:rsidRDefault="004B30C0" w:rsidP="004B30C0">
      <w:pPr>
        <w:pStyle w:val="ListParagraph"/>
        <w:rPr>
          <w:rFonts w:cs="Arial"/>
          <w:b/>
          <w:bCs/>
          <w:highlight w:val="yellow"/>
        </w:rPr>
      </w:pPr>
    </w:p>
    <w:p w14:paraId="3FEAAA79" w14:textId="289AC8D0" w:rsidR="004B30C0" w:rsidRDefault="004B30C0" w:rsidP="004B30C0">
      <w:pPr>
        <w:pStyle w:val="ListParagraph"/>
        <w:rPr>
          <w:rFonts w:cs="Arial"/>
          <w:b/>
          <w:bCs/>
          <w:highlight w:val="yellow"/>
        </w:rPr>
      </w:pPr>
    </w:p>
    <w:p w14:paraId="551699C5" w14:textId="5F15FBF9" w:rsidR="004B30C0" w:rsidRDefault="004B30C0" w:rsidP="004B30C0">
      <w:pPr>
        <w:pStyle w:val="ListParagraph"/>
        <w:rPr>
          <w:rFonts w:cs="Arial"/>
          <w:b/>
          <w:bCs/>
          <w:highlight w:val="yellow"/>
        </w:rPr>
      </w:pPr>
    </w:p>
    <w:p w14:paraId="69705E64" w14:textId="7DE5EC30" w:rsidR="004B30C0" w:rsidRDefault="004B30C0" w:rsidP="004B30C0">
      <w:pPr>
        <w:pStyle w:val="ListParagraph"/>
        <w:rPr>
          <w:rFonts w:cs="Arial"/>
          <w:b/>
          <w:bCs/>
          <w:highlight w:val="yellow"/>
        </w:rPr>
      </w:pPr>
    </w:p>
    <w:p w14:paraId="78A2F488" w14:textId="77777777" w:rsidR="00673C0A" w:rsidRDefault="00673C0A" w:rsidP="004B30C0">
      <w:pPr>
        <w:pStyle w:val="ListParagraph"/>
        <w:rPr>
          <w:rFonts w:cs="Arial"/>
          <w:b/>
          <w:bCs/>
          <w:highlight w:val="yellow"/>
        </w:rPr>
      </w:pPr>
    </w:p>
    <w:p w14:paraId="775FE61C" w14:textId="350BA7E0" w:rsidR="004B30C0" w:rsidRDefault="004B30C0" w:rsidP="004B30C0">
      <w:pPr>
        <w:pStyle w:val="ListParagraph"/>
        <w:rPr>
          <w:rFonts w:cs="Arial"/>
          <w:b/>
          <w:bCs/>
          <w:highlight w:val="yellow"/>
        </w:rPr>
      </w:pPr>
    </w:p>
    <w:p w14:paraId="1B33FED7" w14:textId="34C43601" w:rsidR="004B30C0" w:rsidRDefault="004B30C0" w:rsidP="004B30C0">
      <w:pPr>
        <w:pStyle w:val="ListParagraph"/>
        <w:rPr>
          <w:rFonts w:cs="Arial"/>
          <w:b/>
          <w:bCs/>
          <w:highlight w:val="yellow"/>
        </w:rPr>
      </w:pPr>
    </w:p>
    <w:p w14:paraId="7DB8FBC6" w14:textId="77777777" w:rsidR="0098766C" w:rsidRDefault="0098766C" w:rsidP="004B30C0">
      <w:pPr>
        <w:pStyle w:val="ListParagraph"/>
        <w:rPr>
          <w:rFonts w:cs="Arial"/>
          <w:b/>
          <w:bCs/>
          <w:highlight w:val="yellow"/>
        </w:rPr>
      </w:pPr>
    </w:p>
    <w:p w14:paraId="48123610" w14:textId="1D9647F4" w:rsidR="004B30C0" w:rsidRDefault="004B30C0" w:rsidP="004B30C0">
      <w:pPr>
        <w:rPr>
          <w:rFonts w:cs="Arial"/>
          <w:b/>
          <w:bCs/>
          <w:highlight w:val="yellow"/>
        </w:rPr>
      </w:pPr>
    </w:p>
    <w:p w14:paraId="3735DF6E" w14:textId="3C9FC3E8" w:rsidR="003D7103" w:rsidRDefault="003D7103" w:rsidP="004B30C0">
      <w:pPr>
        <w:rPr>
          <w:rFonts w:cs="Arial"/>
          <w:b/>
          <w:bCs/>
          <w:highlight w:val="yellow"/>
        </w:rPr>
      </w:pPr>
    </w:p>
    <w:p w14:paraId="582B6130" w14:textId="133C5A56" w:rsidR="0098766C" w:rsidRDefault="0098766C" w:rsidP="004B30C0">
      <w:pPr>
        <w:rPr>
          <w:rFonts w:cs="Arial"/>
          <w:b/>
          <w:bCs/>
          <w:highlight w:val="yellow"/>
        </w:rPr>
      </w:pPr>
    </w:p>
    <w:p w14:paraId="0D625E4D" w14:textId="11C86746" w:rsidR="0098766C" w:rsidRDefault="0098766C" w:rsidP="004B30C0">
      <w:pPr>
        <w:rPr>
          <w:rFonts w:cs="Arial"/>
          <w:b/>
          <w:bCs/>
          <w:highlight w:val="yellow"/>
        </w:rPr>
      </w:pPr>
    </w:p>
    <w:p w14:paraId="502E9DDA" w14:textId="276AA198" w:rsidR="0098766C" w:rsidRDefault="0098766C" w:rsidP="004B30C0">
      <w:pPr>
        <w:rPr>
          <w:rFonts w:cs="Arial"/>
          <w:b/>
          <w:bCs/>
          <w:highlight w:val="yellow"/>
        </w:rPr>
      </w:pPr>
    </w:p>
    <w:p w14:paraId="3471CEB3" w14:textId="4ABE3622" w:rsidR="0098766C" w:rsidRDefault="0098766C" w:rsidP="004B30C0">
      <w:pPr>
        <w:rPr>
          <w:rFonts w:cs="Arial"/>
          <w:b/>
          <w:bCs/>
          <w:highlight w:val="yellow"/>
        </w:rPr>
      </w:pPr>
    </w:p>
    <w:p w14:paraId="7E2FA039" w14:textId="77777777" w:rsidR="00A62C63" w:rsidRDefault="00A62C63" w:rsidP="004B30C0">
      <w:pPr>
        <w:rPr>
          <w:rFonts w:cs="Arial"/>
          <w:b/>
          <w:bCs/>
          <w:highlight w:val="yellow"/>
        </w:rPr>
      </w:pPr>
    </w:p>
    <w:p w14:paraId="3205FD56" w14:textId="77777777" w:rsidR="00B3539D" w:rsidRPr="005F50E8" w:rsidRDefault="00B3539D" w:rsidP="004B30C0">
      <w:pPr>
        <w:rPr>
          <w:rFonts w:cs="Arial"/>
          <w:b/>
          <w:bCs/>
          <w:highlight w:val="yellow"/>
        </w:rPr>
      </w:pPr>
    </w:p>
    <w:p w14:paraId="7DB0EAC3" w14:textId="505B5C8A" w:rsidR="004B30C0" w:rsidRPr="004B30C0" w:rsidRDefault="004B30C0" w:rsidP="004B30C0">
      <w:pPr>
        <w:pStyle w:val="Heading1"/>
        <w:rPr>
          <w:rFonts w:ascii="Arial" w:hAnsi="Arial" w:cs="Arial"/>
          <w:b/>
          <w:color w:val="auto"/>
          <w:sz w:val="28"/>
          <w:szCs w:val="28"/>
        </w:rPr>
      </w:pPr>
      <w:bookmarkStart w:id="3" w:name="_Section_3:_Research"/>
      <w:bookmarkEnd w:id="3"/>
      <w:r w:rsidRPr="004B30C0">
        <w:rPr>
          <w:rFonts w:ascii="Arial" w:hAnsi="Arial" w:cs="Arial"/>
          <w:b/>
          <w:color w:val="auto"/>
          <w:sz w:val="28"/>
          <w:szCs w:val="28"/>
        </w:rPr>
        <w:lastRenderedPageBreak/>
        <w:t xml:space="preserve">Section 3: Research evidence </w:t>
      </w:r>
    </w:p>
    <w:p w14:paraId="072B2AB6" w14:textId="04229DCD" w:rsidR="004B30C0" w:rsidRDefault="004B30C0" w:rsidP="004B30C0">
      <w:pPr>
        <w:spacing w:before="240"/>
        <w:rPr>
          <w:rFonts w:cs="Arial"/>
        </w:rPr>
      </w:pPr>
      <w:r w:rsidRPr="1BEA4369">
        <w:rPr>
          <w:rFonts w:cs="Arial"/>
        </w:rPr>
        <w:t>There are differences of opinion as to what the existing evidence base on the use of puberty blockers (gonadotropin-releasing hormone agonists (</w:t>
      </w:r>
      <w:proofErr w:type="spellStart"/>
      <w:r w:rsidRPr="1BEA4369">
        <w:rPr>
          <w:rFonts w:cs="Arial"/>
        </w:rPr>
        <w:t>GnRHas</w:t>
      </w:r>
      <w:proofErr w:type="spellEnd"/>
      <w:r w:rsidRPr="1BEA4369">
        <w:rPr>
          <w:rFonts w:cs="Arial"/>
        </w:rPr>
        <w:t xml:space="preserve">)) and cross-sex hormones means for clinical practice. Some believe that the existing evidence </w:t>
      </w:r>
      <w:r w:rsidR="00D654F4" w:rsidRPr="1BEA4369">
        <w:rPr>
          <w:rFonts w:cs="Arial"/>
        </w:rPr>
        <w:t xml:space="preserve">and clinical experience </w:t>
      </w:r>
      <w:r w:rsidRPr="1BEA4369">
        <w:rPr>
          <w:rFonts w:cs="Arial"/>
        </w:rPr>
        <w:t>provides an ethical justification for the use of puberty</w:t>
      </w:r>
      <w:r w:rsidR="005729E5" w:rsidRPr="1BEA4369">
        <w:rPr>
          <w:rFonts w:cs="Arial"/>
        </w:rPr>
        <w:t xml:space="preserve"> blockers</w:t>
      </w:r>
      <w:r w:rsidRPr="1BEA4369">
        <w:rPr>
          <w:rFonts w:cs="Arial"/>
        </w:rPr>
        <w:t xml:space="preserve"> and cross-sex hormones</w:t>
      </w:r>
      <w:r w:rsidR="00D654F4" w:rsidRPr="1BEA4369">
        <w:rPr>
          <w:rFonts w:cs="Arial"/>
        </w:rPr>
        <w:t xml:space="preserve"> in care</w:t>
      </w:r>
      <w:r w:rsidRPr="1BEA4369">
        <w:rPr>
          <w:rFonts w:cs="Arial"/>
        </w:rPr>
        <w:t xml:space="preserve">, pointing to the literature which shows the potential risks of </w:t>
      </w:r>
      <w:r w:rsidRPr="1BEA4369">
        <w:rPr>
          <w:rFonts w:cs="Arial"/>
          <w:u w:val="single"/>
        </w:rPr>
        <w:t>not</w:t>
      </w:r>
      <w:r w:rsidRPr="1BEA4369">
        <w:rPr>
          <w:rFonts w:cs="Arial"/>
        </w:rPr>
        <w:t xml:space="preserve"> providing that treatment (i.e. increased psychiatric morbidity, self-harming behaviours and suicide).</w:t>
      </w:r>
      <w:r w:rsidR="00D654F4" w:rsidRPr="1BEA4369">
        <w:rPr>
          <w:rFonts w:cs="Arial"/>
        </w:rPr>
        <w:t xml:space="preserve"> They reject the claim that the use of these treatments </w:t>
      </w:r>
      <w:r w:rsidR="00E74775" w:rsidRPr="1BEA4369">
        <w:rPr>
          <w:rFonts w:cs="Arial"/>
        </w:rPr>
        <w:t>i</w:t>
      </w:r>
      <w:r w:rsidR="00D654F4" w:rsidRPr="1BEA4369">
        <w:rPr>
          <w:rFonts w:cs="Arial"/>
        </w:rPr>
        <w:t>s ‘experimental’</w:t>
      </w:r>
      <w:r w:rsidR="030C9E5A" w:rsidRPr="1BEA4369">
        <w:rPr>
          <w:rFonts w:cs="Arial"/>
        </w:rPr>
        <w:t>,</w:t>
      </w:r>
      <w:r w:rsidR="00D654F4" w:rsidRPr="1BEA4369">
        <w:rPr>
          <w:rFonts w:cs="Arial"/>
        </w:rPr>
        <w:t xml:space="preserve"> or </w:t>
      </w:r>
      <w:r w:rsidR="1B0E6007" w:rsidRPr="1BEA4369">
        <w:rPr>
          <w:rFonts w:cs="Arial"/>
        </w:rPr>
        <w:t xml:space="preserve">argue that it is </w:t>
      </w:r>
      <w:r w:rsidR="6EA80B98" w:rsidRPr="1BEA4369">
        <w:rPr>
          <w:rFonts w:cs="Arial"/>
        </w:rPr>
        <w:t>similar to</w:t>
      </w:r>
      <w:r w:rsidR="00D654F4" w:rsidRPr="1BEA4369">
        <w:rPr>
          <w:rFonts w:cs="Arial"/>
        </w:rPr>
        <w:t xml:space="preserve"> other areas of paediatric practice where there are no licensed treatment options. </w:t>
      </w:r>
      <w:r w:rsidRPr="1BEA4369">
        <w:rPr>
          <w:rFonts w:cs="Arial"/>
        </w:rPr>
        <w:t xml:space="preserve"> </w:t>
      </w:r>
    </w:p>
    <w:p w14:paraId="7E5156FF" w14:textId="3F0C74F3" w:rsidR="00FA1334" w:rsidRPr="00FB118B" w:rsidRDefault="004B30C0" w:rsidP="00B70DFC">
      <w:pPr>
        <w:rPr>
          <w:rStyle w:val="CommentReference"/>
          <w:rFonts w:cs="Arial"/>
          <w:sz w:val="24"/>
          <w:szCs w:val="20"/>
        </w:rPr>
      </w:pPr>
      <w:r w:rsidRPr="1BEA4369">
        <w:rPr>
          <w:rFonts w:cs="Arial"/>
        </w:rPr>
        <w:t xml:space="preserve">Others believe that the current state of research evidence provides an insufficient basis for treatment, and that puberty </w:t>
      </w:r>
      <w:r w:rsidR="005729E5" w:rsidRPr="1BEA4369">
        <w:rPr>
          <w:rFonts w:cs="Arial"/>
        </w:rPr>
        <w:t xml:space="preserve">blockers </w:t>
      </w:r>
      <w:r w:rsidRPr="1BEA4369">
        <w:rPr>
          <w:rFonts w:cs="Arial"/>
        </w:rPr>
        <w:t>should be considered experimental treatment</w:t>
      </w:r>
      <w:r w:rsidR="00985D5E" w:rsidRPr="1BEA4369">
        <w:rPr>
          <w:rFonts w:cs="Arial"/>
        </w:rPr>
        <w:t xml:space="preserve"> and prescribed </w:t>
      </w:r>
      <w:r w:rsidR="356888E5" w:rsidRPr="1BEA4369">
        <w:rPr>
          <w:rFonts w:cs="Arial"/>
        </w:rPr>
        <w:t xml:space="preserve">only </w:t>
      </w:r>
      <w:r w:rsidR="00985D5E" w:rsidRPr="1BEA4369">
        <w:rPr>
          <w:rFonts w:cs="Arial"/>
        </w:rPr>
        <w:t xml:space="preserve">in the context of a research study. This was the </w:t>
      </w:r>
      <w:r w:rsidRPr="1BEA4369">
        <w:rPr>
          <w:rFonts w:cs="Arial"/>
        </w:rPr>
        <w:t xml:space="preserve">conclusion of the High Court in the recent </w:t>
      </w:r>
      <w:r w:rsidRPr="1BEA4369">
        <w:rPr>
          <w:rFonts w:cs="Arial"/>
          <w:i/>
          <w:iCs/>
        </w:rPr>
        <w:t xml:space="preserve">Bell v Tavistock and Portman NHS Foundation Trust </w:t>
      </w:r>
      <w:r w:rsidRPr="1BEA4369">
        <w:rPr>
          <w:rFonts w:cs="Arial"/>
        </w:rPr>
        <w:t>case, on the basis of the uncertainty over the short</w:t>
      </w:r>
      <w:r w:rsidR="3C488331" w:rsidRPr="1BEA4369">
        <w:rPr>
          <w:rFonts w:cs="Arial"/>
        </w:rPr>
        <w:t>-</w:t>
      </w:r>
      <w:r w:rsidRPr="1BEA4369">
        <w:rPr>
          <w:rFonts w:cs="Arial"/>
        </w:rPr>
        <w:t xml:space="preserve"> and long-term clinical and life-course outcomes</w:t>
      </w:r>
      <w:r w:rsidR="4B385BD3" w:rsidRPr="1BEA4369">
        <w:rPr>
          <w:rFonts w:cs="Arial"/>
        </w:rPr>
        <w:t xml:space="preserve"> </w:t>
      </w:r>
      <w:r w:rsidR="00E74775" w:rsidRPr="1BEA4369">
        <w:rPr>
          <w:rFonts w:cs="Arial"/>
        </w:rPr>
        <w:t xml:space="preserve">and ambiguity over </w:t>
      </w:r>
      <w:r w:rsidR="2AC7FF40" w:rsidRPr="1BEA4369">
        <w:rPr>
          <w:rFonts w:cs="Arial"/>
        </w:rPr>
        <w:t xml:space="preserve">their </w:t>
      </w:r>
      <w:r w:rsidR="00E74775" w:rsidRPr="1BEA4369">
        <w:rPr>
          <w:rFonts w:cs="Arial"/>
        </w:rPr>
        <w:t>purpose.</w:t>
      </w:r>
      <w:r w:rsidR="00985D5E" w:rsidRPr="1BEA4369">
        <w:rPr>
          <w:rFonts w:cs="Arial"/>
        </w:rPr>
        <w:t xml:space="preserve"> </w:t>
      </w:r>
    </w:p>
    <w:p w14:paraId="0D811882" w14:textId="0402CB23" w:rsidR="004B30C0" w:rsidRPr="00B70DFC" w:rsidRDefault="004B30C0" w:rsidP="00B70DFC">
      <w:pPr>
        <w:pStyle w:val="ListParagraph"/>
        <w:numPr>
          <w:ilvl w:val="0"/>
          <w:numId w:val="5"/>
        </w:numPr>
        <w:rPr>
          <w:rFonts w:cs="Arial"/>
          <w:b/>
          <w:bCs/>
        </w:rPr>
      </w:pPr>
      <w:r w:rsidRPr="7EF5A3C6">
        <w:rPr>
          <w:rFonts w:cs="Arial"/>
          <w:b/>
          <w:bCs/>
        </w:rPr>
        <w:t xml:space="preserve">In your view, does the available evidence </w:t>
      </w:r>
      <w:r w:rsidR="00F744CB" w:rsidRPr="7EF5A3C6">
        <w:rPr>
          <w:rFonts w:cs="Arial"/>
          <w:b/>
          <w:bCs/>
        </w:rPr>
        <w:t>support</w:t>
      </w:r>
      <w:r w:rsidRPr="7EF5A3C6">
        <w:rPr>
          <w:rFonts w:cs="Arial"/>
          <w:b/>
          <w:bCs/>
        </w:rPr>
        <w:t xml:space="preserve"> </w:t>
      </w:r>
      <w:r w:rsidR="008E204A" w:rsidRPr="7EF5A3C6">
        <w:rPr>
          <w:rFonts w:cs="Arial"/>
          <w:b/>
          <w:bCs/>
        </w:rPr>
        <w:t xml:space="preserve">medical </w:t>
      </w:r>
      <w:r w:rsidRPr="7EF5A3C6">
        <w:rPr>
          <w:rFonts w:cs="Arial"/>
          <w:b/>
          <w:bCs/>
        </w:rPr>
        <w:t xml:space="preserve">interventions in </w:t>
      </w:r>
      <w:r w:rsidR="740D6E16" w:rsidRPr="7EF5A3C6">
        <w:rPr>
          <w:rFonts w:cs="Arial"/>
          <w:b/>
          <w:bCs/>
        </w:rPr>
        <w:t xml:space="preserve">gender diverse </w:t>
      </w:r>
      <w:r w:rsidRPr="7EF5A3C6">
        <w:rPr>
          <w:rFonts w:cs="Arial"/>
          <w:b/>
          <w:bCs/>
        </w:rPr>
        <w:t xml:space="preserve">children and adolescents? Please expand on your comments. </w:t>
      </w:r>
    </w:p>
    <w:p w14:paraId="2C95D971" w14:textId="77777777" w:rsidR="004B30C0" w:rsidRDefault="004B30C0" w:rsidP="004B30C0">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51D32B57" w14:textId="77777777" w:rsidTr="004B30C0">
        <w:tc>
          <w:tcPr>
            <w:tcW w:w="9016" w:type="dxa"/>
          </w:tcPr>
          <w:p w14:paraId="0BC38FF5" w14:textId="77777777" w:rsidR="004B30C0" w:rsidRDefault="004B30C0" w:rsidP="004B30C0">
            <w:pPr>
              <w:pStyle w:val="ListParagraph"/>
              <w:ind w:left="0"/>
            </w:pPr>
          </w:p>
          <w:p w14:paraId="68765D8D" w14:textId="24B32043" w:rsidR="004B30C0" w:rsidRDefault="004B30C0" w:rsidP="004B30C0">
            <w:pPr>
              <w:pStyle w:val="ListParagraph"/>
              <w:ind w:left="0"/>
            </w:pPr>
          </w:p>
          <w:p w14:paraId="06E961B7" w14:textId="779B9D24" w:rsidR="005C3AE3" w:rsidRDefault="005C3AE3" w:rsidP="004B30C0">
            <w:pPr>
              <w:pStyle w:val="ListParagraph"/>
              <w:ind w:left="0"/>
            </w:pPr>
          </w:p>
          <w:p w14:paraId="27E873D4" w14:textId="77777777" w:rsidR="008425DD" w:rsidRDefault="008425DD" w:rsidP="004B30C0">
            <w:pPr>
              <w:pStyle w:val="ListParagraph"/>
              <w:ind w:left="0"/>
            </w:pPr>
          </w:p>
          <w:p w14:paraId="1FEFE93A" w14:textId="77777777" w:rsidR="004B30C0" w:rsidRDefault="004B30C0" w:rsidP="004B30C0">
            <w:pPr>
              <w:pStyle w:val="ListParagraph"/>
              <w:ind w:left="0"/>
            </w:pPr>
          </w:p>
        </w:tc>
      </w:tr>
    </w:tbl>
    <w:p w14:paraId="2D327735" w14:textId="77777777" w:rsidR="004B30C0" w:rsidRPr="005777EA" w:rsidRDefault="004B30C0" w:rsidP="004B30C0">
      <w:pPr>
        <w:pStyle w:val="ListParagraph"/>
        <w:rPr>
          <w:rFonts w:cs="Arial"/>
        </w:rPr>
      </w:pPr>
    </w:p>
    <w:p w14:paraId="0413F47D" w14:textId="77777777" w:rsidR="004B30C0" w:rsidRDefault="004B30C0" w:rsidP="004B30C0">
      <w:pPr>
        <w:pStyle w:val="ListParagraph"/>
        <w:rPr>
          <w:rFonts w:cs="Arial"/>
          <w:b/>
          <w:bCs/>
        </w:rPr>
      </w:pPr>
    </w:p>
    <w:p w14:paraId="45178FBB" w14:textId="34BF50F1" w:rsidR="004B30C0" w:rsidRPr="00B70DFC" w:rsidRDefault="24F2B845" w:rsidP="00B70DFC">
      <w:pPr>
        <w:pStyle w:val="ListParagraph"/>
        <w:numPr>
          <w:ilvl w:val="0"/>
          <w:numId w:val="5"/>
        </w:numPr>
        <w:spacing w:before="240"/>
        <w:rPr>
          <w:rFonts w:cs="Arial"/>
        </w:rPr>
      </w:pPr>
      <w:r w:rsidRPr="12886CA8">
        <w:rPr>
          <w:rFonts w:cs="Arial"/>
          <w:b/>
          <w:bCs/>
        </w:rPr>
        <w:t xml:space="preserve">Does the use of </w:t>
      </w:r>
      <w:r w:rsidR="2D0E5060" w:rsidRPr="12886CA8">
        <w:rPr>
          <w:rFonts w:cs="Arial"/>
          <w:b/>
          <w:bCs/>
        </w:rPr>
        <w:t xml:space="preserve">puberty blockers </w:t>
      </w:r>
      <w:r w:rsidR="77FC3037" w:rsidRPr="12886CA8">
        <w:rPr>
          <w:rFonts w:cs="Arial"/>
          <w:b/>
          <w:bCs/>
        </w:rPr>
        <w:t>in this context</w:t>
      </w:r>
      <w:r w:rsidR="00B70DFC" w:rsidRPr="12886CA8">
        <w:rPr>
          <w:rFonts w:cs="Arial"/>
          <w:b/>
          <w:bCs/>
        </w:rPr>
        <w:t xml:space="preserve"> </w:t>
      </w:r>
      <w:r w:rsidR="00985D5E" w:rsidRPr="12886CA8">
        <w:rPr>
          <w:rFonts w:cs="Arial"/>
          <w:b/>
          <w:bCs/>
        </w:rPr>
        <w:t>warrant a</w:t>
      </w:r>
      <w:r w:rsidR="056B570C" w:rsidRPr="12886CA8">
        <w:rPr>
          <w:rFonts w:cs="Arial"/>
          <w:b/>
          <w:bCs/>
        </w:rPr>
        <w:t xml:space="preserve"> different </w:t>
      </w:r>
      <w:r w:rsidR="00A26919" w:rsidRPr="12886CA8">
        <w:rPr>
          <w:rFonts w:cs="Arial"/>
          <w:b/>
          <w:bCs/>
        </w:rPr>
        <w:t>standard of evidence</w:t>
      </w:r>
      <w:r w:rsidR="32F0B4A2" w:rsidRPr="12886CA8">
        <w:rPr>
          <w:rFonts w:cs="Arial"/>
          <w:b/>
          <w:bCs/>
        </w:rPr>
        <w:t xml:space="preserve"> to support decision</w:t>
      </w:r>
      <w:r w:rsidR="2E014B2C" w:rsidRPr="12886CA8">
        <w:rPr>
          <w:rFonts w:cs="Arial"/>
          <w:b/>
          <w:bCs/>
        </w:rPr>
        <w:t>s</w:t>
      </w:r>
      <w:r w:rsidR="32F0B4A2" w:rsidRPr="12886CA8">
        <w:rPr>
          <w:rFonts w:cs="Arial"/>
          <w:b/>
          <w:bCs/>
        </w:rPr>
        <w:t xml:space="preserve"> about treatment</w:t>
      </w:r>
      <w:r w:rsidR="0CCEBC42" w:rsidRPr="12886CA8">
        <w:rPr>
          <w:rFonts w:cs="Arial"/>
          <w:b/>
          <w:bCs/>
        </w:rPr>
        <w:t xml:space="preserve"> </w:t>
      </w:r>
      <w:r w:rsidR="00A26919" w:rsidRPr="12886CA8">
        <w:rPr>
          <w:rFonts w:cs="Arial"/>
          <w:b/>
          <w:bCs/>
        </w:rPr>
        <w:t xml:space="preserve">compared to other </w:t>
      </w:r>
      <w:r w:rsidR="0343F6F8" w:rsidRPr="12886CA8">
        <w:rPr>
          <w:rFonts w:cs="Arial"/>
          <w:b/>
          <w:bCs/>
        </w:rPr>
        <w:t xml:space="preserve">paediatric </w:t>
      </w:r>
      <w:r w:rsidR="00A62C63">
        <w:rPr>
          <w:rFonts w:cs="Arial"/>
          <w:b/>
          <w:bCs/>
        </w:rPr>
        <w:t>interventions</w:t>
      </w:r>
      <w:r w:rsidR="00FB118B">
        <w:rPr>
          <w:rFonts w:cs="Arial"/>
          <w:b/>
          <w:bCs/>
        </w:rPr>
        <w:t xml:space="preserve">? </w:t>
      </w:r>
      <w:r w:rsidR="00A26919" w:rsidRPr="12886CA8">
        <w:rPr>
          <w:rFonts w:cs="Arial"/>
          <w:b/>
          <w:bCs/>
        </w:rPr>
        <w:t>Please expand on your comments.</w:t>
      </w:r>
    </w:p>
    <w:p w14:paraId="68B4592C" w14:textId="69CDE34B" w:rsidR="00B70DFC" w:rsidRDefault="00B70DFC" w:rsidP="00B70DFC">
      <w:pPr>
        <w:pStyle w:val="ListParagraph"/>
        <w:spacing w:before="240"/>
        <w:rPr>
          <w:rFonts w:cs="Arial"/>
          <w:b/>
          <w:bCs/>
        </w:rPr>
      </w:pPr>
    </w:p>
    <w:tbl>
      <w:tblPr>
        <w:tblStyle w:val="TableGrid"/>
        <w:tblW w:w="0" w:type="auto"/>
        <w:tblInd w:w="720" w:type="dxa"/>
        <w:tblLook w:val="04A0" w:firstRow="1" w:lastRow="0" w:firstColumn="1" w:lastColumn="0" w:noHBand="0" w:noVBand="1"/>
      </w:tblPr>
      <w:tblGrid>
        <w:gridCol w:w="8296"/>
      </w:tblGrid>
      <w:tr w:rsidR="00B70DFC" w14:paraId="28443EDD" w14:textId="77777777" w:rsidTr="007914AA">
        <w:tc>
          <w:tcPr>
            <w:tcW w:w="9016" w:type="dxa"/>
          </w:tcPr>
          <w:p w14:paraId="27F1487F" w14:textId="77777777" w:rsidR="00B70DFC" w:rsidRDefault="00B70DFC" w:rsidP="007914AA">
            <w:pPr>
              <w:pStyle w:val="ListParagraph"/>
              <w:ind w:left="0"/>
            </w:pPr>
          </w:p>
          <w:p w14:paraId="6E76F24C" w14:textId="558563EC" w:rsidR="00B70DFC" w:rsidRDefault="00B70DFC" w:rsidP="007914AA">
            <w:pPr>
              <w:pStyle w:val="ListParagraph"/>
              <w:ind w:left="0"/>
            </w:pPr>
          </w:p>
          <w:p w14:paraId="795749B2" w14:textId="77777777" w:rsidR="005C3AE3" w:rsidRDefault="005C3AE3" w:rsidP="007914AA">
            <w:pPr>
              <w:pStyle w:val="ListParagraph"/>
              <w:ind w:left="0"/>
            </w:pPr>
          </w:p>
          <w:p w14:paraId="54D3C72F" w14:textId="77777777" w:rsidR="00B70DFC" w:rsidRDefault="00B70DFC" w:rsidP="007914AA">
            <w:pPr>
              <w:pStyle w:val="ListParagraph"/>
              <w:ind w:left="0"/>
            </w:pPr>
          </w:p>
          <w:p w14:paraId="643A365B" w14:textId="1BB04856" w:rsidR="008425DD" w:rsidRDefault="008425DD" w:rsidP="007914AA">
            <w:pPr>
              <w:pStyle w:val="ListParagraph"/>
              <w:ind w:left="0"/>
            </w:pPr>
          </w:p>
        </w:tc>
      </w:tr>
    </w:tbl>
    <w:p w14:paraId="33F1C73C" w14:textId="77777777" w:rsidR="004B30C0" w:rsidRPr="004B30C0" w:rsidRDefault="004B30C0" w:rsidP="004B30C0">
      <w:pPr>
        <w:pStyle w:val="Heading1"/>
        <w:rPr>
          <w:rFonts w:ascii="Arial" w:hAnsi="Arial" w:cs="Arial"/>
          <w:b/>
          <w:color w:val="auto"/>
          <w:sz w:val="28"/>
          <w:szCs w:val="28"/>
        </w:rPr>
      </w:pPr>
      <w:bookmarkStart w:id="4" w:name="_Section_4:_Approaches"/>
      <w:bookmarkEnd w:id="4"/>
      <w:r w:rsidRPr="004B30C0">
        <w:rPr>
          <w:rFonts w:ascii="Arial" w:hAnsi="Arial" w:cs="Arial"/>
          <w:b/>
          <w:color w:val="auto"/>
          <w:sz w:val="28"/>
          <w:szCs w:val="28"/>
        </w:rPr>
        <w:lastRenderedPageBreak/>
        <w:t>Section 4: Approaches to care and treatment</w:t>
      </w:r>
    </w:p>
    <w:p w14:paraId="4BDACA3E" w14:textId="29F0BD78" w:rsidR="004B30C0" w:rsidRDefault="004B30C0" w:rsidP="004B30C0">
      <w:pPr>
        <w:spacing w:before="240"/>
        <w:rPr>
          <w:rFonts w:cs="Arial"/>
        </w:rPr>
      </w:pPr>
      <w:r w:rsidRPr="4D73643E">
        <w:rPr>
          <w:rFonts w:cs="Arial"/>
        </w:rPr>
        <w:t>The current approach to care and treatment in the UK is based on the World Professional Association for Transgender Health (WPATH) guidelines. It focuses on providing psychological and psychosocial support to patients and families and, if there are persistent signs of gender dysphoria upon reaching puberty, making a referral to a paediatric endocrine clinic for puberty suppression with the option</w:t>
      </w:r>
      <w:r w:rsidR="000425F1" w:rsidRPr="4D73643E">
        <w:rPr>
          <w:rFonts w:cs="Arial"/>
        </w:rPr>
        <w:t xml:space="preserve"> </w:t>
      </w:r>
      <w:r w:rsidRPr="4D73643E">
        <w:rPr>
          <w:rFonts w:cs="Arial"/>
        </w:rPr>
        <w:t>of receiving cross-sex hormones to masculinise or feminise the body</w:t>
      </w:r>
      <w:r w:rsidR="000425F1" w:rsidRPr="4D73643E">
        <w:rPr>
          <w:rFonts w:cs="Arial"/>
        </w:rPr>
        <w:t xml:space="preserve"> from the age of 16. </w:t>
      </w:r>
    </w:p>
    <w:p w14:paraId="238D7DAC" w14:textId="3E66DDD8" w:rsidR="004B30C0" w:rsidRDefault="004B30C0" w:rsidP="004B30C0">
      <w:pPr>
        <w:spacing w:before="240"/>
        <w:rPr>
          <w:rFonts w:cs="Arial"/>
          <w:u w:val="single"/>
        </w:rPr>
      </w:pPr>
      <w:r>
        <w:rPr>
          <w:rFonts w:cs="Arial"/>
          <w:u w:val="single"/>
        </w:rPr>
        <w:t xml:space="preserve">The purpose of puberty </w:t>
      </w:r>
      <w:r w:rsidR="00985D5E">
        <w:rPr>
          <w:rFonts w:cs="Arial"/>
          <w:u w:val="single"/>
        </w:rPr>
        <w:t>blockers</w:t>
      </w:r>
    </w:p>
    <w:p w14:paraId="061AFE76" w14:textId="13A177D8" w:rsidR="004B30C0" w:rsidRPr="004B61B9" w:rsidRDefault="004B30C0" w:rsidP="004B30C0">
      <w:pPr>
        <w:rPr>
          <w:rFonts w:cs="Arial"/>
        </w:rPr>
      </w:pPr>
      <w:r w:rsidRPr="283AF5D6">
        <w:rPr>
          <w:rFonts w:cs="Arial"/>
        </w:rPr>
        <w:t xml:space="preserve">One of the current dilemmas in treatment decisions relates to the </w:t>
      </w:r>
      <w:r w:rsidRPr="283AF5D6">
        <w:rPr>
          <w:rFonts w:cs="Arial"/>
          <w:i/>
          <w:iCs/>
        </w:rPr>
        <w:t>purpose</w:t>
      </w:r>
      <w:r w:rsidRPr="283AF5D6">
        <w:rPr>
          <w:rFonts w:cs="Arial"/>
        </w:rPr>
        <w:t xml:space="preserve"> of puberty </w:t>
      </w:r>
      <w:r w:rsidR="00985D5E" w:rsidRPr="283AF5D6">
        <w:rPr>
          <w:rFonts w:cs="Arial"/>
        </w:rPr>
        <w:t>blockers</w:t>
      </w:r>
      <w:r w:rsidRPr="283AF5D6">
        <w:rPr>
          <w:rFonts w:cs="Arial"/>
        </w:rPr>
        <w:t xml:space="preserve">: whether it is to give young people time for reflection and exploration before proceeding with further, irreversible treatment, or whether it is intended as the first step towards other treatment and designed to facilitate more straightforward transition with cross-sex hormones and later surgical interventions. </w:t>
      </w:r>
    </w:p>
    <w:p w14:paraId="42C6766C" w14:textId="446CD115" w:rsidR="00B70DFC" w:rsidRDefault="000425F1" w:rsidP="00B70DFC">
      <w:pPr>
        <w:rPr>
          <w:rStyle w:val="CommentReference"/>
        </w:rPr>
      </w:pPr>
      <w:r w:rsidRPr="283AF5D6">
        <w:rPr>
          <w:rFonts w:cs="Arial"/>
        </w:rPr>
        <w:t>There</w:t>
      </w:r>
      <w:r w:rsidR="004B30C0" w:rsidRPr="283AF5D6">
        <w:rPr>
          <w:rFonts w:cs="Arial"/>
        </w:rPr>
        <w:t xml:space="preserve"> is</w:t>
      </w:r>
      <w:r w:rsidRPr="283AF5D6">
        <w:rPr>
          <w:rFonts w:cs="Arial"/>
        </w:rPr>
        <w:t xml:space="preserve"> also</w:t>
      </w:r>
      <w:r w:rsidR="004B30C0" w:rsidRPr="283AF5D6">
        <w:rPr>
          <w:rFonts w:cs="Arial"/>
        </w:rPr>
        <w:t xml:space="preserve"> a broader question about whether</w:t>
      </w:r>
      <w:r w:rsidR="00985D5E" w:rsidRPr="283AF5D6">
        <w:rPr>
          <w:rFonts w:cs="Arial"/>
        </w:rPr>
        <w:t xml:space="preserve"> the provision of</w:t>
      </w:r>
      <w:r w:rsidR="004B30C0" w:rsidRPr="283AF5D6">
        <w:rPr>
          <w:rFonts w:cs="Arial"/>
        </w:rPr>
        <w:t xml:space="preserve"> </w:t>
      </w:r>
      <w:r w:rsidR="008E204A" w:rsidRPr="283AF5D6">
        <w:rPr>
          <w:rFonts w:cs="Arial"/>
        </w:rPr>
        <w:t xml:space="preserve">puberty </w:t>
      </w:r>
      <w:r w:rsidR="00985D5E" w:rsidRPr="283AF5D6">
        <w:rPr>
          <w:rFonts w:cs="Arial"/>
        </w:rPr>
        <w:t xml:space="preserve">blockers </w:t>
      </w:r>
      <w:r w:rsidR="004B30C0" w:rsidRPr="283AF5D6">
        <w:rPr>
          <w:rFonts w:cs="Arial"/>
        </w:rPr>
        <w:t xml:space="preserve">at a young age opens up or closes </w:t>
      </w:r>
      <w:r w:rsidR="4FB5189F" w:rsidRPr="283AF5D6">
        <w:rPr>
          <w:rFonts w:cs="Arial"/>
        </w:rPr>
        <w:t xml:space="preserve">down </w:t>
      </w:r>
      <w:r w:rsidR="004B30C0" w:rsidRPr="283AF5D6">
        <w:rPr>
          <w:rFonts w:cs="Arial"/>
        </w:rPr>
        <w:t>future choices</w:t>
      </w:r>
      <w:r w:rsidR="7B679D8B" w:rsidRPr="283AF5D6">
        <w:rPr>
          <w:rFonts w:cs="Arial"/>
        </w:rPr>
        <w:t xml:space="preserve">, </w:t>
      </w:r>
      <w:r w:rsidR="00356A5F">
        <w:rPr>
          <w:rFonts w:cs="Arial"/>
        </w:rPr>
        <w:t>f</w:t>
      </w:r>
      <w:r w:rsidR="00665E6F" w:rsidRPr="283AF5D6">
        <w:rPr>
          <w:rFonts w:cs="Arial"/>
        </w:rPr>
        <w:t>or example</w:t>
      </w:r>
      <w:r w:rsidR="004B30C0" w:rsidRPr="283AF5D6">
        <w:rPr>
          <w:rFonts w:cs="Arial"/>
        </w:rPr>
        <w:t xml:space="preserve">, whether it leaves room for gender identity to fluctuate or evolve </w:t>
      </w:r>
      <w:r w:rsidRPr="283AF5D6">
        <w:rPr>
          <w:rFonts w:cs="Arial"/>
        </w:rPr>
        <w:t>over time</w:t>
      </w:r>
      <w:r w:rsidR="004B30C0" w:rsidRPr="283AF5D6">
        <w:rPr>
          <w:rFonts w:cs="Arial"/>
        </w:rPr>
        <w:t>, or whether it</w:t>
      </w:r>
      <w:r w:rsidR="00356A5F">
        <w:rPr>
          <w:rFonts w:cs="Arial"/>
        </w:rPr>
        <w:t xml:space="preserve"> determines or fixes a particular identity </w:t>
      </w:r>
      <w:r w:rsidR="004B30C0" w:rsidRPr="283AF5D6">
        <w:rPr>
          <w:rFonts w:cs="Arial"/>
        </w:rPr>
        <w:t xml:space="preserve">which excludes exploration of other options. </w:t>
      </w:r>
      <w:r w:rsidR="00A42F38" w:rsidRPr="283AF5D6">
        <w:rPr>
          <w:rFonts w:cs="Arial"/>
        </w:rPr>
        <w:t>E</w:t>
      </w:r>
      <w:r w:rsidR="004B30C0" w:rsidRPr="283AF5D6">
        <w:rPr>
          <w:rFonts w:cs="Arial"/>
        </w:rPr>
        <w:t xml:space="preserve">vidence on the number of children and adolescents with profound and longstanding gender dysphoria who persist in their gender identities, and </w:t>
      </w:r>
      <w:r w:rsidR="00A42F38" w:rsidRPr="283AF5D6">
        <w:rPr>
          <w:rFonts w:cs="Arial"/>
        </w:rPr>
        <w:t xml:space="preserve">on </w:t>
      </w:r>
      <w:r w:rsidR="00985D5E" w:rsidRPr="283AF5D6">
        <w:rPr>
          <w:rFonts w:cs="Arial"/>
        </w:rPr>
        <w:t>those who desist and do not become transgender adults</w:t>
      </w:r>
      <w:r w:rsidR="4201872F" w:rsidRPr="283AF5D6">
        <w:rPr>
          <w:rFonts w:cs="Arial"/>
        </w:rPr>
        <w:t>,</w:t>
      </w:r>
      <w:r w:rsidR="00985D5E" w:rsidRPr="283AF5D6">
        <w:rPr>
          <w:rFonts w:cs="Arial"/>
        </w:rPr>
        <w:t xml:space="preserve"> </w:t>
      </w:r>
      <w:r w:rsidR="00A42F38" w:rsidRPr="283AF5D6">
        <w:rPr>
          <w:rFonts w:cs="Arial"/>
        </w:rPr>
        <w:t>illustrates the complexity of the situation.</w:t>
      </w:r>
    </w:p>
    <w:p w14:paraId="492CD4D2" w14:textId="79E1E9B5" w:rsidR="004B30C0" w:rsidRPr="00B70DFC" w:rsidRDefault="004B30C0" w:rsidP="00B70DFC">
      <w:pPr>
        <w:pStyle w:val="ListParagraph"/>
        <w:numPr>
          <w:ilvl w:val="0"/>
          <w:numId w:val="5"/>
        </w:numPr>
        <w:rPr>
          <w:rFonts w:cs="Arial"/>
          <w:b/>
          <w:bCs/>
        </w:rPr>
      </w:pPr>
      <w:r w:rsidRPr="00B70DFC">
        <w:rPr>
          <w:rFonts w:cs="Arial"/>
          <w:b/>
          <w:bCs/>
        </w:rPr>
        <w:t>What</w:t>
      </w:r>
      <w:r w:rsidR="00985D5E">
        <w:rPr>
          <w:rFonts w:cs="Arial"/>
          <w:b/>
          <w:bCs/>
        </w:rPr>
        <w:t xml:space="preserve"> should be the purpose of puberty blockers? Does this match up with how they are used in practice? </w:t>
      </w:r>
    </w:p>
    <w:p w14:paraId="57ED53F4" w14:textId="77777777" w:rsidR="004B30C0" w:rsidRDefault="004B30C0" w:rsidP="004B30C0">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132680F1" w14:textId="77777777" w:rsidTr="004B30C0">
        <w:tc>
          <w:tcPr>
            <w:tcW w:w="9016" w:type="dxa"/>
          </w:tcPr>
          <w:p w14:paraId="46BAA569" w14:textId="4E4922EF" w:rsidR="004B30C0" w:rsidRDefault="004B30C0" w:rsidP="004B30C0">
            <w:pPr>
              <w:pStyle w:val="ListParagraph"/>
              <w:ind w:left="0"/>
              <w:rPr>
                <w:b/>
                <w:bCs/>
              </w:rPr>
            </w:pPr>
          </w:p>
          <w:p w14:paraId="66CE0CAE" w14:textId="77777777" w:rsidR="006F3126" w:rsidRDefault="006F3126" w:rsidP="004B30C0">
            <w:pPr>
              <w:pStyle w:val="ListParagraph"/>
              <w:ind w:left="0"/>
              <w:rPr>
                <w:b/>
                <w:bCs/>
              </w:rPr>
            </w:pPr>
          </w:p>
          <w:p w14:paraId="01688AF5" w14:textId="77777777" w:rsidR="004B30C0" w:rsidRDefault="004B30C0" w:rsidP="004B30C0">
            <w:pPr>
              <w:pStyle w:val="ListParagraph"/>
              <w:ind w:left="0"/>
              <w:rPr>
                <w:b/>
                <w:bCs/>
              </w:rPr>
            </w:pPr>
          </w:p>
          <w:p w14:paraId="7D05D19A" w14:textId="77777777" w:rsidR="004B30C0" w:rsidRDefault="004B30C0" w:rsidP="004B30C0">
            <w:pPr>
              <w:pStyle w:val="ListParagraph"/>
              <w:ind w:left="0"/>
              <w:rPr>
                <w:b/>
                <w:bCs/>
              </w:rPr>
            </w:pPr>
          </w:p>
          <w:p w14:paraId="22A79C5E" w14:textId="65C2CB80" w:rsidR="008425DD" w:rsidRDefault="008425DD" w:rsidP="004B30C0">
            <w:pPr>
              <w:pStyle w:val="ListParagraph"/>
              <w:ind w:left="0"/>
              <w:rPr>
                <w:b/>
                <w:bCs/>
              </w:rPr>
            </w:pPr>
          </w:p>
        </w:tc>
      </w:tr>
    </w:tbl>
    <w:p w14:paraId="7C76D5EC" w14:textId="1FB4CD81" w:rsidR="004B30C0" w:rsidRPr="008E6FFE" w:rsidRDefault="00985D5E" w:rsidP="004B30C0">
      <w:pPr>
        <w:spacing w:before="240"/>
        <w:rPr>
          <w:rFonts w:cs="Arial"/>
        </w:rPr>
      </w:pPr>
      <w:r>
        <w:rPr>
          <w:rFonts w:cs="Arial"/>
          <w:u w:val="single"/>
        </w:rPr>
        <w:t>The g</w:t>
      </w:r>
      <w:r w:rsidR="004B30C0">
        <w:rPr>
          <w:rFonts w:cs="Arial"/>
          <w:u w:val="single"/>
        </w:rPr>
        <w:t>ender affirmat</w:t>
      </w:r>
      <w:r>
        <w:rPr>
          <w:rFonts w:cs="Arial"/>
          <w:u w:val="single"/>
        </w:rPr>
        <w:t>ive approach</w:t>
      </w:r>
      <w:r w:rsidR="004B30C0">
        <w:rPr>
          <w:rFonts w:cs="Arial"/>
          <w:u w:val="single"/>
        </w:rPr>
        <w:t xml:space="preserve"> </w:t>
      </w:r>
    </w:p>
    <w:p w14:paraId="75F9CB39" w14:textId="1085296D" w:rsidR="004B30C0" w:rsidRDefault="00356A5F" w:rsidP="004B30C0">
      <w:pPr>
        <w:rPr>
          <w:rFonts w:cs="Arial"/>
        </w:rPr>
      </w:pPr>
      <w:r w:rsidRPr="12886CA8">
        <w:rPr>
          <w:rFonts w:cs="Arial"/>
        </w:rPr>
        <w:t xml:space="preserve">One </w:t>
      </w:r>
      <w:r w:rsidR="004B30C0" w:rsidRPr="12886CA8">
        <w:rPr>
          <w:rFonts w:cs="Arial"/>
        </w:rPr>
        <w:t xml:space="preserve">current approach to care and treatment of children and young people </w:t>
      </w:r>
      <w:r w:rsidR="00517D34" w:rsidRPr="12886CA8">
        <w:rPr>
          <w:rFonts w:cs="Arial"/>
        </w:rPr>
        <w:t xml:space="preserve">is often referred to as the </w:t>
      </w:r>
      <w:r w:rsidR="00A62C63">
        <w:rPr>
          <w:rFonts w:cs="Arial"/>
        </w:rPr>
        <w:t>‘</w:t>
      </w:r>
      <w:r w:rsidR="00517D34" w:rsidRPr="12886CA8">
        <w:rPr>
          <w:rFonts w:cs="Arial"/>
        </w:rPr>
        <w:t>gender affirmative</w:t>
      </w:r>
      <w:r w:rsidR="00A62C63">
        <w:rPr>
          <w:rFonts w:cs="Arial"/>
        </w:rPr>
        <w:t>’</w:t>
      </w:r>
      <w:r w:rsidR="00517D34" w:rsidRPr="12886CA8">
        <w:rPr>
          <w:rFonts w:cs="Arial"/>
        </w:rPr>
        <w:t xml:space="preserve"> approach. It </w:t>
      </w:r>
      <w:r w:rsidR="004B30C0" w:rsidRPr="12886CA8">
        <w:rPr>
          <w:rFonts w:cs="Arial"/>
        </w:rPr>
        <w:t>seeks to affirm the gender identity expressed by young peopl</w:t>
      </w:r>
      <w:r w:rsidR="7DE19FCB" w:rsidRPr="12886CA8">
        <w:rPr>
          <w:rFonts w:cs="Arial"/>
        </w:rPr>
        <w:t>e without questioning it</w:t>
      </w:r>
      <w:r w:rsidR="00985D5E" w:rsidRPr="12886CA8">
        <w:rPr>
          <w:rFonts w:cs="Arial"/>
        </w:rPr>
        <w:t xml:space="preserve">. </w:t>
      </w:r>
      <w:r w:rsidR="00517D34" w:rsidRPr="12886CA8">
        <w:rPr>
          <w:rFonts w:cs="Arial"/>
        </w:rPr>
        <w:t xml:space="preserve">This approach complements the idea that </w:t>
      </w:r>
      <w:r w:rsidR="004B30C0" w:rsidRPr="12886CA8">
        <w:rPr>
          <w:rFonts w:cs="Arial"/>
        </w:rPr>
        <w:t xml:space="preserve">gender </w:t>
      </w:r>
      <w:r w:rsidR="00517D34" w:rsidRPr="12886CA8">
        <w:rPr>
          <w:rFonts w:cs="Arial"/>
        </w:rPr>
        <w:t>i</w:t>
      </w:r>
      <w:r w:rsidR="004B30C0" w:rsidRPr="12886CA8">
        <w:rPr>
          <w:rFonts w:cs="Arial"/>
        </w:rPr>
        <w:t>s innate</w:t>
      </w:r>
      <w:r w:rsidR="00517D34" w:rsidRPr="12886CA8">
        <w:rPr>
          <w:rFonts w:cs="Arial"/>
        </w:rPr>
        <w:t>, sometimes expressed as the</w:t>
      </w:r>
      <w:r w:rsidR="004B30C0" w:rsidRPr="12886CA8">
        <w:rPr>
          <w:rFonts w:cs="Arial"/>
        </w:rPr>
        <w:t xml:space="preserve"> view that gender diverse</w:t>
      </w:r>
      <w:r w:rsidR="008425DD" w:rsidRPr="12886CA8">
        <w:rPr>
          <w:rFonts w:cs="Arial"/>
        </w:rPr>
        <w:t xml:space="preserve"> and gender incongruent</w:t>
      </w:r>
      <w:r w:rsidR="004B30C0" w:rsidRPr="12886CA8">
        <w:rPr>
          <w:rFonts w:cs="Arial"/>
        </w:rPr>
        <w:t xml:space="preserve"> young people are </w:t>
      </w:r>
      <w:r w:rsidR="00BD2E55">
        <w:rPr>
          <w:rFonts w:cs="Arial"/>
        </w:rPr>
        <w:t>‘</w:t>
      </w:r>
      <w:r w:rsidR="004B30C0" w:rsidRPr="12886CA8">
        <w:rPr>
          <w:rFonts w:cs="Arial"/>
        </w:rPr>
        <w:t>born this way</w:t>
      </w:r>
      <w:r w:rsidR="00BD2E55">
        <w:rPr>
          <w:rFonts w:cs="Arial"/>
        </w:rPr>
        <w:t>’</w:t>
      </w:r>
      <w:r w:rsidR="004B30C0" w:rsidRPr="12886CA8">
        <w:rPr>
          <w:rFonts w:cs="Arial"/>
        </w:rPr>
        <w:t xml:space="preserve">. </w:t>
      </w:r>
      <w:r w:rsidR="7C30EFE5" w:rsidRPr="12886CA8">
        <w:rPr>
          <w:rFonts w:cs="Arial"/>
        </w:rPr>
        <w:t>According to the gender affirmative</w:t>
      </w:r>
      <w:r w:rsidR="004B30C0" w:rsidRPr="12886CA8">
        <w:rPr>
          <w:rFonts w:cs="Arial"/>
        </w:rPr>
        <w:t xml:space="preserve"> </w:t>
      </w:r>
      <w:r w:rsidR="00517D34" w:rsidRPr="12886CA8">
        <w:rPr>
          <w:rFonts w:cs="Arial"/>
        </w:rPr>
        <w:t>approach</w:t>
      </w:r>
      <w:r w:rsidR="004B30C0" w:rsidRPr="12886CA8">
        <w:rPr>
          <w:rFonts w:cs="Arial"/>
        </w:rPr>
        <w:t>, refusing to acknowledge and affirm gender identity</w:t>
      </w:r>
      <w:r w:rsidR="00517D34" w:rsidRPr="12886CA8">
        <w:rPr>
          <w:rFonts w:cs="Arial"/>
        </w:rPr>
        <w:t>, or</w:t>
      </w:r>
      <w:r w:rsidR="004B30C0" w:rsidRPr="12886CA8">
        <w:rPr>
          <w:rFonts w:cs="Arial"/>
        </w:rPr>
        <w:t xml:space="preserve"> </w:t>
      </w:r>
      <w:r w:rsidR="004B30C0" w:rsidRPr="12886CA8">
        <w:rPr>
          <w:rFonts w:cs="Arial"/>
        </w:rPr>
        <w:lastRenderedPageBreak/>
        <w:t xml:space="preserve">attempting to </w:t>
      </w:r>
      <w:r w:rsidR="007448B0">
        <w:rPr>
          <w:rFonts w:cs="Arial"/>
        </w:rPr>
        <w:t>‘</w:t>
      </w:r>
      <w:r w:rsidR="004B30C0" w:rsidRPr="12886CA8">
        <w:rPr>
          <w:rFonts w:cs="Arial"/>
        </w:rPr>
        <w:t>cure</w:t>
      </w:r>
      <w:r w:rsidR="007448B0">
        <w:rPr>
          <w:rFonts w:cs="Arial"/>
        </w:rPr>
        <w:t>’</w:t>
      </w:r>
      <w:r w:rsidR="004B30C0" w:rsidRPr="12886CA8">
        <w:rPr>
          <w:rFonts w:cs="Arial"/>
        </w:rPr>
        <w:t xml:space="preserve"> gender dysphoria</w:t>
      </w:r>
      <w:r w:rsidR="00517D34" w:rsidRPr="12886CA8">
        <w:rPr>
          <w:rFonts w:cs="Arial"/>
        </w:rPr>
        <w:t xml:space="preserve">, would be an </w:t>
      </w:r>
      <w:r w:rsidR="004B30C0" w:rsidRPr="12886CA8">
        <w:rPr>
          <w:rFonts w:cs="Arial"/>
        </w:rPr>
        <w:t xml:space="preserve">attack on </w:t>
      </w:r>
      <w:r w:rsidR="00517D34" w:rsidRPr="12886CA8">
        <w:rPr>
          <w:rFonts w:cs="Arial"/>
        </w:rPr>
        <w:t xml:space="preserve">the </w:t>
      </w:r>
      <w:r w:rsidR="004B30C0" w:rsidRPr="12886CA8">
        <w:rPr>
          <w:rFonts w:cs="Arial"/>
        </w:rPr>
        <w:t xml:space="preserve">identity and dignity of children and young people. </w:t>
      </w:r>
    </w:p>
    <w:p w14:paraId="0480F92E" w14:textId="322B8E3C" w:rsidR="00356A5F" w:rsidRDefault="004B30C0" w:rsidP="004B30C0">
      <w:pPr>
        <w:rPr>
          <w:rFonts w:cs="Arial"/>
        </w:rPr>
      </w:pPr>
      <w:r w:rsidRPr="1BEA4369">
        <w:rPr>
          <w:rFonts w:cs="Arial"/>
        </w:rPr>
        <w:t xml:space="preserve">Others note evidence that </w:t>
      </w:r>
      <w:r w:rsidR="007448B0">
        <w:rPr>
          <w:rFonts w:cs="Arial"/>
        </w:rPr>
        <w:t xml:space="preserve">a number of </w:t>
      </w:r>
      <w:r w:rsidRPr="1BEA4369">
        <w:rPr>
          <w:rFonts w:cs="Arial"/>
        </w:rPr>
        <w:t>young people will desist from questioning their gender identity and will not become transgender adults</w:t>
      </w:r>
      <w:r w:rsidR="00517D34" w:rsidRPr="1BEA4369">
        <w:rPr>
          <w:rFonts w:cs="Arial"/>
        </w:rPr>
        <w:t>. They also note</w:t>
      </w:r>
      <w:r w:rsidRPr="1BEA4369">
        <w:rPr>
          <w:rFonts w:cs="Arial"/>
        </w:rPr>
        <w:t xml:space="preserve"> evidence that suggests the majority of gender</w:t>
      </w:r>
      <w:r w:rsidR="00517D34" w:rsidRPr="1BEA4369">
        <w:rPr>
          <w:rFonts w:cs="Arial"/>
        </w:rPr>
        <w:t>-</w:t>
      </w:r>
      <w:r w:rsidRPr="1BEA4369">
        <w:rPr>
          <w:rFonts w:cs="Arial"/>
        </w:rPr>
        <w:t>questioning young people later identi</w:t>
      </w:r>
      <w:r w:rsidR="5CB87EC4" w:rsidRPr="1BEA4369">
        <w:rPr>
          <w:rFonts w:cs="Arial"/>
        </w:rPr>
        <w:t>f</w:t>
      </w:r>
      <w:r w:rsidRPr="1BEA4369">
        <w:rPr>
          <w:rFonts w:cs="Arial"/>
        </w:rPr>
        <w:t>y as homosexual or bisexual adults</w:t>
      </w:r>
      <w:r w:rsidR="279D63A6" w:rsidRPr="1BEA4369">
        <w:rPr>
          <w:rFonts w:cs="Arial"/>
        </w:rPr>
        <w:t xml:space="preserve">, and worry that it is not always easy </w:t>
      </w:r>
      <w:r w:rsidR="5DA27E9A" w:rsidRPr="1BEA4369">
        <w:rPr>
          <w:rFonts w:cs="Arial"/>
        </w:rPr>
        <w:t xml:space="preserve">for children </w:t>
      </w:r>
      <w:r w:rsidR="2555F6B3" w:rsidRPr="1BEA4369">
        <w:rPr>
          <w:rFonts w:cs="Arial"/>
        </w:rPr>
        <w:t xml:space="preserve">or </w:t>
      </w:r>
      <w:r w:rsidR="5DA27E9A" w:rsidRPr="1BEA4369">
        <w:rPr>
          <w:rFonts w:cs="Arial"/>
        </w:rPr>
        <w:t xml:space="preserve">clinicians </w:t>
      </w:r>
      <w:r w:rsidR="279D63A6" w:rsidRPr="1BEA4369">
        <w:rPr>
          <w:rFonts w:cs="Arial"/>
        </w:rPr>
        <w:t>to distinguish</w:t>
      </w:r>
      <w:r w:rsidR="416758E5" w:rsidRPr="1BEA4369">
        <w:rPr>
          <w:rFonts w:cs="Arial"/>
        </w:rPr>
        <w:t xml:space="preserve"> early questions and feelings about gender identity from early questions </w:t>
      </w:r>
      <w:r w:rsidR="776C73D9" w:rsidRPr="1BEA4369">
        <w:rPr>
          <w:rFonts w:cs="Arial"/>
        </w:rPr>
        <w:t xml:space="preserve">and feelings </w:t>
      </w:r>
      <w:r w:rsidR="416758E5" w:rsidRPr="1BEA4369">
        <w:rPr>
          <w:rFonts w:cs="Arial"/>
        </w:rPr>
        <w:t>about sexuality.</w:t>
      </w:r>
      <w:r w:rsidRPr="1BEA4369">
        <w:rPr>
          <w:rFonts w:cs="Arial"/>
        </w:rPr>
        <w:t xml:space="preserve"> On this basis, they question whether the presence of gender</w:t>
      </w:r>
      <w:r w:rsidR="1563CBA4" w:rsidRPr="1BEA4369">
        <w:rPr>
          <w:rFonts w:cs="Arial"/>
        </w:rPr>
        <w:t xml:space="preserve"> </w:t>
      </w:r>
      <w:r w:rsidRPr="1BEA4369">
        <w:rPr>
          <w:rFonts w:cs="Arial"/>
        </w:rPr>
        <w:t xml:space="preserve">non-conforming </w:t>
      </w:r>
      <w:r w:rsidR="2BCA7A90" w:rsidRPr="1BEA4369">
        <w:rPr>
          <w:rFonts w:cs="Arial"/>
        </w:rPr>
        <w:t xml:space="preserve">feelings and </w:t>
      </w:r>
      <w:r w:rsidRPr="1BEA4369">
        <w:rPr>
          <w:rFonts w:cs="Arial"/>
        </w:rPr>
        <w:t>behaviour provides sufficient basis to endorse, unquestioningly, a child’s view of their gender.</w:t>
      </w:r>
      <w:r w:rsidR="006F3126" w:rsidRPr="1BEA4369">
        <w:rPr>
          <w:rFonts w:cs="Arial"/>
        </w:rPr>
        <w:t xml:space="preserve"> </w:t>
      </w:r>
    </w:p>
    <w:p w14:paraId="0AF639BA" w14:textId="4CF5E565" w:rsidR="004B30C0" w:rsidRDefault="006F3126" w:rsidP="004B30C0">
      <w:pPr>
        <w:rPr>
          <w:rFonts w:cs="Arial"/>
        </w:rPr>
      </w:pPr>
      <w:r w:rsidRPr="1BEA4369">
        <w:rPr>
          <w:rFonts w:cs="Arial"/>
        </w:rPr>
        <w:t>T</w:t>
      </w:r>
      <w:r w:rsidR="00517D34" w:rsidRPr="1BEA4369">
        <w:rPr>
          <w:rFonts w:cs="Arial"/>
        </w:rPr>
        <w:t>hose who view gender dysphoria as a symptom of broader mental health or social problems may advocate psychological and therapeutic approaches which</w:t>
      </w:r>
      <w:r w:rsidRPr="1BEA4369">
        <w:rPr>
          <w:rFonts w:cs="Arial"/>
        </w:rPr>
        <w:t xml:space="preserve"> adopt a more enquiring approach to a young person’s expressed gender identity.</w:t>
      </w:r>
      <w:r w:rsidR="00945F4E" w:rsidRPr="1BEA4369">
        <w:rPr>
          <w:rFonts w:cs="Arial"/>
        </w:rPr>
        <w:t xml:space="preserve"> Finally,</w:t>
      </w:r>
      <w:r w:rsidRPr="1BEA4369">
        <w:rPr>
          <w:rFonts w:cs="Arial"/>
        </w:rPr>
        <w:t xml:space="preserve"> </w:t>
      </w:r>
      <w:r w:rsidR="00945F4E" w:rsidRPr="1BEA4369">
        <w:rPr>
          <w:rFonts w:cs="Arial"/>
        </w:rPr>
        <w:t>the high rates of autism spectrum disorders (ASD) and mental health conditions in gender diverse and gender incongruent children and adolescents</w:t>
      </w:r>
      <w:r w:rsidR="00127B5B" w:rsidRPr="1BEA4369">
        <w:rPr>
          <w:rFonts w:cs="Arial"/>
        </w:rPr>
        <w:t xml:space="preserve">, and whether </w:t>
      </w:r>
      <w:r w:rsidR="00945F4E" w:rsidRPr="1BEA4369">
        <w:rPr>
          <w:rFonts w:cs="Arial"/>
        </w:rPr>
        <w:t>they are interrelated or</w:t>
      </w:r>
      <w:r w:rsidR="00127B5B" w:rsidRPr="1BEA4369">
        <w:rPr>
          <w:rFonts w:cs="Arial"/>
        </w:rPr>
        <w:t xml:space="preserve"> simply </w:t>
      </w:r>
      <w:r w:rsidR="00945F4E" w:rsidRPr="1BEA4369">
        <w:rPr>
          <w:rFonts w:cs="Arial"/>
        </w:rPr>
        <w:t>co-existing</w:t>
      </w:r>
      <w:r w:rsidR="00127B5B" w:rsidRPr="1BEA4369">
        <w:rPr>
          <w:rFonts w:cs="Arial"/>
        </w:rPr>
        <w:t xml:space="preserve">, </w:t>
      </w:r>
      <w:r w:rsidR="00945F4E" w:rsidRPr="1BEA4369">
        <w:rPr>
          <w:rFonts w:cs="Arial"/>
        </w:rPr>
        <w:t xml:space="preserve">may also influence views on </w:t>
      </w:r>
      <w:r w:rsidR="0E25D3DA" w:rsidRPr="1BEA4369">
        <w:rPr>
          <w:rFonts w:cs="Arial"/>
        </w:rPr>
        <w:t>the most appropriate approach</w:t>
      </w:r>
      <w:r w:rsidR="00945F4E" w:rsidRPr="1BEA4369">
        <w:rPr>
          <w:rFonts w:cs="Arial"/>
        </w:rPr>
        <w:t xml:space="preserve">. </w:t>
      </w:r>
    </w:p>
    <w:p w14:paraId="6C36214D" w14:textId="6E00AA23" w:rsidR="004B30C0" w:rsidRDefault="006F3126" w:rsidP="006F3126">
      <w:pPr>
        <w:pStyle w:val="ListParagraph"/>
        <w:numPr>
          <w:ilvl w:val="0"/>
          <w:numId w:val="5"/>
        </w:numPr>
        <w:rPr>
          <w:rFonts w:cs="Arial"/>
          <w:b/>
          <w:bCs/>
        </w:rPr>
      </w:pPr>
      <w:r w:rsidRPr="1BEA4369">
        <w:rPr>
          <w:rFonts w:cs="Arial"/>
          <w:b/>
          <w:bCs/>
        </w:rPr>
        <w:t>What</w:t>
      </w:r>
      <w:r w:rsidR="00127B5B" w:rsidRPr="1BEA4369">
        <w:rPr>
          <w:rFonts w:cs="Arial"/>
          <w:b/>
          <w:bCs/>
        </w:rPr>
        <w:t xml:space="preserve"> </w:t>
      </w:r>
      <w:r w:rsidRPr="1BEA4369">
        <w:rPr>
          <w:rFonts w:cs="Arial"/>
          <w:b/>
          <w:bCs/>
        </w:rPr>
        <w:t xml:space="preserve">is the best way to respond to a child or adolescent who expresses unhappiness or discomfort with their gender identity? </w:t>
      </w:r>
    </w:p>
    <w:p w14:paraId="2CE0C154" w14:textId="77777777" w:rsidR="006F3126" w:rsidRPr="006F3126" w:rsidRDefault="006F3126" w:rsidP="006F3126">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4927FB4E" w14:textId="77777777" w:rsidTr="004B30C0">
        <w:tc>
          <w:tcPr>
            <w:tcW w:w="9016" w:type="dxa"/>
          </w:tcPr>
          <w:p w14:paraId="73A8733E" w14:textId="77777777" w:rsidR="004B30C0" w:rsidRDefault="004B30C0" w:rsidP="004B30C0">
            <w:pPr>
              <w:pStyle w:val="ListParagraph"/>
              <w:ind w:left="0"/>
            </w:pPr>
          </w:p>
          <w:p w14:paraId="2059FD7F" w14:textId="09C95198" w:rsidR="004B30C0" w:rsidRDefault="004B30C0" w:rsidP="004B30C0">
            <w:pPr>
              <w:pStyle w:val="ListParagraph"/>
              <w:ind w:left="0"/>
            </w:pPr>
          </w:p>
          <w:p w14:paraId="0B4BFAA8" w14:textId="77777777" w:rsidR="006F3126" w:rsidRDefault="006F3126" w:rsidP="004B30C0">
            <w:pPr>
              <w:pStyle w:val="ListParagraph"/>
              <w:ind w:left="0"/>
            </w:pPr>
          </w:p>
          <w:p w14:paraId="601B59B3" w14:textId="77777777" w:rsidR="006F3126" w:rsidRDefault="006F3126" w:rsidP="004B30C0">
            <w:pPr>
              <w:pStyle w:val="ListParagraph"/>
              <w:ind w:left="0"/>
            </w:pPr>
          </w:p>
          <w:p w14:paraId="375EC13C" w14:textId="77777777" w:rsidR="004B30C0" w:rsidRDefault="004B30C0" w:rsidP="004B30C0">
            <w:pPr>
              <w:pStyle w:val="ListParagraph"/>
              <w:ind w:left="0"/>
            </w:pPr>
          </w:p>
        </w:tc>
      </w:tr>
    </w:tbl>
    <w:p w14:paraId="692B7C9C" w14:textId="77777777" w:rsidR="004B30C0" w:rsidRDefault="004B30C0" w:rsidP="004B30C0">
      <w:pPr>
        <w:spacing w:after="0"/>
        <w:contextualSpacing/>
        <w:rPr>
          <w:rFonts w:cs="Arial"/>
          <w:b/>
          <w:bCs/>
        </w:rPr>
      </w:pPr>
    </w:p>
    <w:p w14:paraId="44586695" w14:textId="09733CEC" w:rsidR="004B30C0" w:rsidRPr="008E6FFE" w:rsidRDefault="004B30C0" w:rsidP="004B30C0">
      <w:pPr>
        <w:rPr>
          <w:rFonts w:cs="Arial"/>
          <w:u w:val="single"/>
        </w:rPr>
      </w:pPr>
      <w:r w:rsidRPr="12886CA8">
        <w:rPr>
          <w:rFonts w:cs="Arial"/>
          <w:u w:val="single"/>
        </w:rPr>
        <w:t>Social transition</w:t>
      </w:r>
    </w:p>
    <w:p w14:paraId="0E6429EA" w14:textId="4549A6A4" w:rsidR="004B30C0" w:rsidRDefault="004B30C0" w:rsidP="004B30C0">
      <w:pPr>
        <w:rPr>
          <w:rFonts w:cs="Arial"/>
        </w:rPr>
      </w:pPr>
      <w:r w:rsidRPr="1BEA4369">
        <w:rPr>
          <w:rFonts w:cs="Arial"/>
        </w:rPr>
        <w:t xml:space="preserve">Another approach to gender dysphoria is to support young people to live in accordance with their </w:t>
      </w:r>
      <w:r w:rsidR="3438C3BF" w:rsidRPr="1BEA4369">
        <w:rPr>
          <w:rFonts w:cs="Arial"/>
        </w:rPr>
        <w:t xml:space="preserve">chosen </w:t>
      </w:r>
      <w:r w:rsidRPr="1BEA4369">
        <w:rPr>
          <w:rFonts w:cs="Arial"/>
        </w:rPr>
        <w:t xml:space="preserve">gender identity, through choice of dress, changing names or pronouns - known as social transition. Some encourage early social transition as </w:t>
      </w:r>
      <w:r w:rsidR="2F038CCF" w:rsidRPr="1BEA4369">
        <w:rPr>
          <w:rFonts w:cs="Arial"/>
        </w:rPr>
        <w:t xml:space="preserve">a </w:t>
      </w:r>
      <w:r w:rsidRPr="1BEA4369">
        <w:rPr>
          <w:rFonts w:cs="Arial"/>
        </w:rPr>
        <w:t>way of exploring and expressing gender without the need for medical intervention, and note that it can help to reduce signs of distress and dysphoria. Recent trends in referrals indicate that a growing number of young people presenting to specialist gender clinics do so having already made a social transition.</w:t>
      </w:r>
    </w:p>
    <w:p w14:paraId="11E087F9" w14:textId="1C559203" w:rsidR="006F3126" w:rsidRDefault="004B30C0" w:rsidP="004B30C0">
      <w:pPr>
        <w:rPr>
          <w:rFonts w:cs="Arial"/>
        </w:rPr>
      </w:pPr>
      <w:r w:rsidRPr="12886CA8">
        <w:rPr>
          <w:rFonts w:cs="Arial"/>
        </w:rPr>
        <w:t xml:space="preserve">Others have argued that social transition makes it difficult for young people to change their minds, and in fact increases the likelihood of later medical transition. </w:t>
      </w:r>
      <w:r w:rsidR="008104C1" w:rsidRPr="12886CA8">
        <w:rPr>
          <w:rFonts w:cs="Arial"/>
        </w:rPr>
        <w:t>Some raise concerns about external pressure to socially transition, perhaps from parents, mentors, or peers. They question</w:t>
      </w:r>
      <w:r w:rsidRPr="12886CA8">
        <w:rPr>
          <w:rFonts w:cs="Arial"/>
        </w:rPr>
        <w:t xml:space="preserve"> whether social transition opens up or </w:t>
      </w:r>
      <w:r w:rsidRPr="12886CA8">
        <w:rPr>
          <w:rFonts w:cs="Arial"/>
        </w:rPr>
        <w:lastRenderedPageBreak/>
        <w:t>closes</w:t>
      </w:r>
      <w:r w:rsidR="294618FA" w:rsidRPr="12886CA8">
        <w:rPr>
          <w:rFonts w:cs="Arial"/>
        </w:rPr>
        <w:t xml:space="preserve"> down</w:t>
      </w:r>
      <w:r w:rsidRPr="12886CA8">
        <w:rPr>
          <w:rFonts w:cs="Arial"/>
        </w:rPr>
        <w:t xml:space="preserve"> future options.</w:t>
      </w:r>
      <w:r w:rsidR="00487746">
        <w:rPr>
          <w:rFonts w:cs="Arial"/>
        </w:rPr>
        <w:t xml:space="preserve"> Some note that </w:t>
      </w:r>
      <w:r w:rsidR="00FB118B">
        <w:rPr>
          <w:rFonts w:cs="Arial"/>
        </w:rPr>
        <w:t>young people who later desist from identifying as trans may find this difficult it they have socially transitioned.</w:t>
      </w:r>
    </w:p>
    <w:p w14:paraId="688C0AF1" w14:textId="4546F59B" w:rsidR="004B30C0" w:rsidRDefault="004B30C0" w:rsidP="004B30C0">
      <w:pPr>
        <w:pStyle w:val="ListParagraph"/>
        <w:numPr>
          <w:ilvl w:val="0"/>
          <w:numId w:val="5"/>
        </w:numPr>
        <w:spacing w:after="160"/>
        <w:rPr>
          <w:rFonts w:cs="Arial"/>
          <w:b/>
          <w:bCs/>
        </w:rPr>
      </w:pPr>
      <w:r>
        <w:rPr>
          <w:rFonts w:cs="Arial"/>
          <w:b/>
          <w:bCs/>
        </w:rPr>
        <w:t xml:space="preserve">Should children and adolescents with gender dysphoria be </w:t>
      </w:r>
      <w:r w:rsidR="008104C1">
        <w:rPr>
          <w:rFonts w:cs="Arial"/>
          <w:b/>
          <w:bCs/>
        </w:rPr>
        <w:t xml:space="preserve">encouraged or </w:t>
      </w:r>
      <w:r>
        <w:rPr>
          <w:rFonts w:cs="Arial"/>
          <w:b/>
          <w:bCs/>
        </w:rPr>
        <w:t xml:space="preserve">supported to transition socially? </w:t>
      </w:r>
      <w:r w:rsidR="00A42F38">
        <w:rPr>
          <w:rFonts w:cs="Arial"/>
          <w:b/>
          <w:bCs/>
        </w:rPr>
        <w:t>When</w:t>
      </w:r>
      <w:r>
        <w:rPr>
          <w:rFonts w:cs="Arial"/>
          <w:b/>
          <w:bCs/>
        </w:rPr>
        <w:t xml:space="preserve"> should this occur? </w:t>
      </w:r>
    </w:p>
    <w:p w14:paraId="5F8CA693" w14:textId="77777777" w:rsidR="004B30C0" w:rsidRDefault="004B30C0" w:rsidP="004B30C0">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00E8D649" w14:textId="77777777" w:rsidTr="004B30C0">
        <w:tc>
          <w:tcPr>
            <w:tcW w:w="9016" w:type="dxa"/>
          </w:tcPr>
          <w:p w14:paraId="31DF4C3D" w14:textId="77777777" w:rsidR="004B30C0" w:rsidRDefault="004B30C0" w:rsidP="004B30C0">
            <w:pPr>
              <w:pStyle w:val="ListParagraph"/>
              <w:ind w:left="0"/>
              <w:rPr>
                <w:b/>
                <w:bCs/>
              </w:rPr>
            </w:pPr>
          </w:p>
          <w:p w14:paraId="5E7C9D25" w14:textId="77777777" w:rsidR="004B30C0" w:rsidRDefault="004B30C0" w:rsidP="004B30C0">
            <w:pPr>
              <w:pStyle w:val="ListParagraph"/>
              <w:ind w:left="0"/>
              <w:rPr>
                <w:b/>
                <w:bCs/>
              </w:rPr>
            </w:pPr>
          </w:p>
          <w:p w14:paraId="6FBFAD1D" w14:textId="4D196474" w:rsidR="004B30C0" w:rsidRDefault="004B30C0" w:rsidP="004B30C0">
            <w:pPr>
              <w:pStyle w:val="ListParagraph"/>
              <w:ind w:left="0"/>
              <w:rPr>
                <w:b/>
                <w:bCs/>
              </w:rPr>
            </w:pPr>
          </w:p>
          <w:p w14:paraId="622F8EC7" w14:textId="77777777" w:rsidR="005C3AE3" w:rsidRDefault="005C3AE3" w:rsidP="004B30C0">
            <w:pPr>
              <w:pStyle w:val="ListParagraph"/>
              <w:ind w:left="0"/>
              <w:rPr>
                <w:b/>
                <w:bCs/>
              </w:rPr>
            </w:pPr>
          </w:p>
          <w:p w14:paraId="6DA57E3D" w14:textId="6DCD1586" w:rsidR="006F3126" w:rsidRDefault="006F3126" w:rsidP="004B30C0">
            <w:pPr>
              <w:pStyle w:val="ListParagraph"/>
              <w:ind w:left="0"/>
              <w:rPr>
                <w:b/>
                <w:bCs/>
              </w:rPr>
            </w:pPr>
          </w:p>
        </w:tc>
      </w:tr>
    </w:tbl>
    <w:p w14:paraId="4F3540C4" w14:textId="77777777" w:rsidR="00965880" w:rsidRDefault="00965880" w:rsidP="004B30C0">
      <w:pPr>
        <w:rPr>
          <w:rFonts w:cs="Arial"/>
          <w:u w:val="single"/>
        </w:rPr>
      </w:pPr>
    </w:p>
    <w:p w14:paraId="2062F7EA" w14:textId="5B1ACB38" w:rsidR="004B30C0" w:rsidRPr="00CD26A8" w:rsidRDefault="004B30C0" w:rsidP="004B30C0">
      <w:pPr>
        <w:pStyle w:val="ListParagraph"/>
        <w:spacing w:after="0"/>
        <w:rPr>
          <w:rFonts w:cs="Arial"/>
        </w:rPr>
      </w:pPr>
    </w:p>
    <w:p w14:paraId="0FCD9584" w14:textId="77777777" w:rsidR="004B30C0" w:rsidRDefault="004B30C0" w:rsidP="004B30C0">
      <w:pPr>
        <w:pStyle w:val="ListParagraph"/>
        <w:spacing w:after="0"/>
        <w:rPr>
          <w:rFonts w:cs="Arial"/>
          <w:b/>
          <w:bCs/>
        </w:rPr>
      </w:pPr>
    </w:p>
    <w:p w14:paraId="5CEDA3B2" w14:textId="77777777" w:rsidR="004B30C0" w:rsidRDefault="004B30C0" w:rsidP="004B30C0">
      <w:pPr>
        <w:pStyle w:val="ListParagraph"/>
        <w:spacing w:after="0"/>
        <w:rPr>
          <w:rFonts w:cs="Arial"/>
          <w:b/>
          <w:bCs/>
        </w:rPr>
      </w:pPr>
    </w:p>
    <w:p w14:paraId="23ADCD17" w14:textId="77777777" w:rsidR="004B30C0" w:rsidRDefault="004B30C0" w:rsidP="004B30C0">
      <w:pPr>
        <w:spacing w:after="0"/>
        <w:rPr>
          <w:rFonts w:cs="Arial"/>
          <w:b/>
          <w:bCs/>
        </w:rPr>
      </w:pPr>
    </w:p>
    <w:p w14:paraId="5DA1B4A2" w14:textId="77777777" w:rsidR="004B30C0" w:rsidRPr="004D3963" w:rsidRDefault="004B30C0" w:rsidP="004B30C0">
      <w:pPr>
        <w:spacing w:after="0"/>
        <w:rPr>
          <w:rFonts w:cs="Arial"/>
          <w:b/>
          <w:bCs/>
        </w:rPr>
      </w:pPr>
    </w:p>
    <w:p w14:paraId="1F9B9D6B" w14:textId="77777777" w:rsidR="004B30C0" w:rsidRDefault="004B30C0" w:rsidP="004B30C0">
      <w:pPr>
        <w:pStyle w:val="ListParagraph"/>
        <w:spacing w:after="0"/>
        <w:rPr>
          <w:rFonts w:cs="Arial"/>
          <w:b/>
          <w:bCs/>
        </w:rPr>
      </w:pPr>
    </w:p>
    <w:p w14:paraId="2FF2E14C" w14:textId="0186B6D8" w:rsidR="004B30C0" w:rsidRDefault="004B30C0" w:rsidP="004B30C0">
      <w:pPr>
        <w:pStyle w:val="ListParagraph"/>
        <w:spacing w:after="0"/>
        <w:rPr>
          <w:rFonts w:cs="Arial"/>
          <w:b/>
          <w:bCs/>
        </w:rPr>
      </w:pPr>
    </w:p>
    <w:p w14:paraId="282134D1" w14:textId="1CF4002F" w:rsidR="004B30C0" w:rsidRDefault="004B30C0" w:rsidP="004B30C0">
      <w:pPr>
        <w:pStyle w:val="ListParagraph"/>
        <w:spacing w:after="0"/>
        <w:rPr>
          <w:rFonts w:cs="Arial"/>
          <w:b/>
          <w:bCs/>
        </w:rPr>
      </w:pPr>
    </w:p>
    <w:p w14:paraId="57B7CA46" w14:textId="40D7D4A8" w:rsidR="004B30C0" w:rsidRDefault="004B30C0" w:rsidP="004B30C0">
      <w:pPr>
        <w:pStyle w:val="ListParagraph"/>
        <w:spacing w:after="0"/>
        <w:rPr>
          <w:rFonts w:cs="Arial"/>
          <w:b/>
          <w:bCs/>
        </w:rPr>
      </w:pPr>
    </w:p>
    <w:p w14:paraId="1BD26F07" w14:textId="6A27D2A1" w:rsidR="004B30C0" w:rsidRDefault="004B30C0" w:rsidP="00965880">
      <w:pPr>
        <w:spacing w:after="0"/>
        <w:rPr>
          <w:rFonts w:cs="Arial"/>
          <w:b/>
          <w:bCs/>
        </w:rPr>
      </w:pPr>
    </w:p>
    <w:p w14:paraId="14C86872" w14:textId="675B9DDA" w:rsidR="00124822" w:rsidRDefault="00124822" w:rsidP="00965880">
      <w:pPr>
        <w:spacing w:after="0"/>
        <w:rPr>
          <w:rFonts w:cs="Arial"/>
          <w:b/>
          <w:bCs/>
        </w:rPr>
      </w:pPr>
    </w:p>
    <w:p w14:paraId="40C39620" w14:textId="2A6332FA" w:rsidR="00124822" w:rsidRDefault="00124822" w:rsidP="00965880">
      <w:pPr>
        <w:spacing w:after="0"/>
        <w:rPr>
          <w:rFonts w:cs="Arial"/>
          <w:b/>
          <w:bCs/>
        </w:rPr>
      </w:pPr>
    </w:p>
    <w:p w14:paraId="3AA76322" w14:textId="4292DFAD" w:rsidR="00124822" w:rsidRDefault="00124822" w:rsidP="00965880">
      <w:pPr>
        <w:spacing w:after="0"/>
        <w:rPr>
          <w:rFonts w:cs="Arial"/>
          <w:b/>
          <w:bCs/>
        </w:rPr>
      </w:pPr>
    </w:p>
    <w:p w14:paraId="179BBEE6" w14:textId="4CF7493B" w:rsidR="00124822" w:rsidRDefault="00124822" w:rsidP="00965880">
      <w:pPr>
        <w:spacing w:after="0"/>
        <w:rPr>
          <w:rFonts w:cs="Arial"/>
          <w:b/>
          <w:bCs/>
        </w:rPr>
      </w:pPr>
    </w:p>
    <w:p w14:paraId="45C147CE" w14:textId="22EC8ED7" w:rsidR="00124822" w:rsidRDefault="00124822" w:rsidP="00965880">
      <w:pPr>
        <w:spacing w:after="0"/>
        <w:rPr>
          <w:rFonts w:cs="Arial"/>
          <w:b/>
          <w:bCs/>
        </w:rPr>
      </w:pPr>
    </w:p>
    <w:p w14:paraId="6830A23F" w14:textId="2CCD4A6B" w:rsidR="00124822" w:rsidRDefault="00124822" w:rsidP="00965880">
      <w:pPr>
        <w:spacing w:after="0"/>
        <w:rPr>
          <w:rFonts w:cs="Arial"/>
          <w:b/>
          <w:bCs/>
        </w:rPr>
      </w:pPr>
    </w:p>
    <w:p w14:paraId="5AACA431" w14:textId="2C23C3EB" w:rsidR="00124822" w:rsidRDefault="00124822" w:rsidP="00965880">
      <w:pPr>
        <w:spacing w:after="0"/>
        <w:rPr>
          <w:rFonts w:cs="Arial"/>
          <w:b/>
          <w:bCs/>
        </w:rPr>
      </w:pPr>
    </w:p>
    <w:p w14:paraId="731FD939" w14:textId="27DD4B28" w:rsidR="00124822" w:rsidRDefault="00124822" w:rsidP="00965880">
      <w:pPr>
        <w:spacing w:after="0"/>
        <w:rPr>
          <w:rFonts w:cs="Arial"/>
          <w:b/>
          <w:bCs/>
        </w:rPr>
      </w:pPr>
    </w:p>
    <w:p w14:paraId="6F990349" w14:textId="5C200BD7" w:rsidR="00124822" w:rsidRDefault="00124822" w:rsidP="00965880">
      <w:pPr>
        <w:spacing w:after="0"/>
        <w:rPr>
          <w:rFonts w:cs="Arial"/>
          <w:b/>
          <w:bCs/>
        </w:rPr>
      </w:pPr>
    </w:p>
    <w:p w14:paraId="54732EEA" w14:textId="61DBB1DB" w:rsidR="00124822" w:rsidRDefault="00124822" w:rsidP="00965880">
      <w:pPr>
        <w:spacing w:after="0"/>
        <w:rPr>
          <w:rFonts w:cs="Arial"/>
          <w:b/>
          <w:bCs/>
        </w:rPr>
      </w:pPr>
    </w:p>
    <w:p w14:paraId="4442F926" w14:textId="585CF16F" w:rsidR="00124822" w:rsidRDefault="00124822" w:rsidP="00965880">
      <w:pPr>
        <w:spacing w:after="0"/>
        <w:rPr>
          <w:rFonts w:cs="Arial"/>
          <w:b/>
          <w:bCs/>
        </w:rPr>
      </w:pPr>
    </w:p>
    <w:p w14:paraId="00A705DF" w14:textId="2298E79F" w:rsidR="00124822" w:rsidRDefault="00124822" w:rsidP="00965880">
      <w:pPr>
        <w:spacing w:after="0"/>
        <w:rPr>
          <w:rFonts w:cs="Arial"/>
          <w:b/>
          <w:bCs/>
        </w:rPr>
      </w:pPr>
    </w:p>
    <w:p w14:paraId="5EFA8DA9" w14:textId="4D197C00" w:rsidR="00124822" w:rsidRDefault="00124822" w:rsidP="00965880">
      <w:pPr>
        <w:spacing w:after="0"/>
        <w:rPr>
          <w:rFonts w:cs="Arial"/>
          <w:b/>
          <w:bCs/>
        </w:rPr>
      </w:pPr>
    </w:p>
    <w:p w14:paraId="65B6E7DC" w14:textId="34E9D749" w:rsidR="00124822" w:rsidRDefault="00124822" w:rsidP="00965880">
      <w:pPr>
        <w:spacing w:after="0"/>
        <w:rPr>
          <w:rFonts w:cs="Arial"/>
          <w:b/>
          <w:bCs/>
        </w:rPr>
      </w:pPr>
    </w:p>
    <w:p w14:paraId="09F4E8BC" w14:textId="13912647" w:rsidR="00124822" w:rsidRDefault="00124822" w:rsidP="00965880">
      <w:pPr>
        <w:spacing w:after="0"/>
        <w:rPr>
          <w:rFonts w:cs="Arial"/>
          <w:b/>
          <w:bCs/>
        </w:rPr>
      </w:pPr>
    </w:p>
    <w:p w14:paraId="42762B30" w14:textId="4A63AF85" w:rsidR="00124822" w:rsidRDefault="00124822" w:rsidP="00965880">
      <w:pPr>
        <w:spacing w:after="0"/>
        <w:rPr>
          <w:rFonts w:cs="Arial"/>
          <w:b/>
          <w:bCs/>
        </w:rPr>
      </w:pPr>
    </w:p>
    <w:p w14:paraId="6D516E69" w14:textId="68059DF7" w:rsidR="00124822" w:rsidRDefault="00124822" w:rsidP="00965880">
      <w:pPr>
        <w:spacing w:after="0"/>
        <w:rPr>
          <w:rFonts w:cs="Arial"/>
          <w:b/>
          <w:bCs/>
        </w:rPr>
      </w:pPr>
    </w:p>
    <w:p w14:paraId="3A89F542" w14:textId="5992A75D" w:rsidR="00124822" w:rsidRDefault="00124822" w:rsidP="00965880">
      <w:pPr>
        <w:spacing w:after="0"/>
        <w:rPr>
          <w:rFonts w:cs="Arial"/>
          <w:b/>
          <w:bCs/>
        </w:rPr>
      </w:pPr>
    </w:p>
    <w:p w14:paraId="3CED3533" w14:textId="77777777" w:rsidR="00124822" w:rsidRPr="00965880" w:rsidRDefault="00124822" w:rsidP="00965880">
      <w:pPr>
        <w:spacing w:after="0"/>
        <w:rPr>
          <w:rFonts w:cs="Arial"/>
          <w:b/>
          <w:bCs/>
        </w:rPr>
      </w:pPr>
    </w:p>
    <w:p w14:paraId="13B9E8C5" w14:textId="6A075389" w:rsidR="004B30C0" w:rsidRPr="004B30C0" w:rsidRDefault="004B30C0" w:rsidP="4D73643E">
      <w:pPr>
        <w:pStyle w:val="Heading1"/>
        <w:rPr>
          <w:rFonts w:ascii="Arial" w:hAnsi="Arial" w:cs="Arial"/>
          <w:b/>
          <w:bCs/>
          <w:color w:val="auto"/>
          <w:sz w:val="28"/>
          <w:szCs w:val="28"/>
        </w:rPr>
      </w:pPr>
      <w:bookmarkStart w:id="5" w:name="_Section_5:_Benefit"/>
      <w:bookmarkEnd w:id="5"/>
      <w:r w:rsidRPr="1BEA4369">
        <w:rPr>
          <w:rFonts w:ascii="Arial" w:hAnsi="Arial" w:cs="Arial"/>
          <w:b/>
          <w:bCs/>
          <w:color w:val="auto"/>
          <w:sz w:val="28"/>
          <w:szCs w:val="28"/>
        </w:rPr>
        <w:lastRenderedPageBreak/>
        <w:t xml:space="preserve">Section 5: </w:t>
      </w:r>
      <w:r w:rsidR="009733F7" w:rsidRPr="1BEA4369">
        <w:rPr>
          <w:rFonts w:ascii="Arial" w:hAnsi="Arial" w:cs="Arial"/>
          <w:b/>
          <w:bCs/>
          <w:color w:val="auto"/>
          <w:sz w:val="28"/>
          <w:szCs w:val="28"/>
        </w:rPr>
        <w:t>Understanding b</w:t>
      </w:r>
      <w:r w:rsidRPr="1BEA4369">
        <w:rPr>
          <w:rFonts w:ascii="Arial" w:hAnsi="Arial" w:cs="Arial"/>
          <w:b/>
          <w:bCs/>
          <w:color w:val="auto"/>
          <w:sz w:val="28"/>
          <w:szCs w:val="28"/>
        </w:rPr>
        <w:t xml:space="preserve">enefit and harm </w:t>
      </w:r>
    </w:p>
    <w:p w14:paraId="23EB800C" w14:textId="027D5A25" w:rsidR="00D811AB" w:rsidRDefault="004B30C0" w:rsidP="004B30C0">
      <w:pPr>
        <w:spacing w:before="240"/>
        <w:rPr>
          <w:rFonts w:cs="Arial"/>
        </w:rPr>
      </w:pPr>
      <w:r w:rsidRPr="4D73643E">
        <w:rPr>
          <w:rFonts w:cs="Arial"/>
        </w:rPr>
        <w:t>As with other medical interventions, decisions about treatment can be seen through the lens of benefit and harm: what is most likely, given the available information, to prevent the greatest harm and yield the greatest overall benefit for a child?</w:t>
      </w:r>
      <w:r w:rsidR="00C61830" w:rsidRPr="4D73643E">
        <w:rPr>
          <w:rFonts w:cs="Arial"/>
        </w:rPr>
        <w:t xml:space="preserve"> </w:t>
      </w:r>
      <w:r w:rsidR="00D811AB" w:rsidRPr="4D73643E">
        <w:rPr>
          <w:rFonts w:cs="Arial"/>
        </w:rPr>
        <w:t xml:space="preserve">There are differences in opinion as to what those benefits and harms are, and the extent to which the available evidence can be used to draw conclusions. Some believe that the existing evidence base provides a definitive answer as to whether medical interventions are beneficial or harmful, while others believe that the long-term risks and benefits have not yet been fully established. </w:t>
      </w:r>
    </w:p>
    <w:p w14:paraId="1750C709" w14:textId="72EC3DEF" w:rsidR="00D811AB" w:rsidRDefault="00D811AB" w:rsidP="004B30C0">
      <w:pPr>
        <w:spacing w:before="240"/>
        <w:rPr>
          <w:rFonts w:cs="Arial"/>
        </w:rPr>
      </w:pPr>
      <w:r w:rsidRPr="283AF5D6">
        <w:rPr>
          <w:rFonts w:cs="Arial"/>
        </w:rPr>
        <w:t>Some of the suggested benefits associated with medical interventions in relation to gender identity include:</w:t>
      </w:r>
    </w:p>
    <w:p w14:paraId="379420B3" w14:textId="22488810" w:rsidR="00AC04DD" w:rsidRDefault="00AC04DD" w:rsidP="00AC04DD">
      <w:pPr>
        <w:pStyle w:val="ListParagraph"/>
        <w:numPr>
          <w:ilvl w:val="0"/>
          <w:numId w:val="9"/>
        </w:numPr>
        <w:spacing w:before="240"/>
        <w:rPr>
          <w:rFonts w:cs="Arial"/>
        </w:rPr>
      </w:pPr>
      <w:r w:rsidRPr="1BEA4369">
        <w:rPr>
          <w:rFonts w:cs="Arial"/>
        </w:rPr>
        <w:t>in the case of puberty blockers, the prevention of irreversible development of secondary sex characteristics</w:t>
      </w:r>
      <w:r w:rsidR="3BCFF96E" w:rsidRPr="1BEA4369">
        <w:rPr>
          <w:rFonts w:cs="Arial"/>
        </w:rPr>
        <w:t>,</w:t>
      </w:r>
      <w:r w:rsidR="00D40244">
        <w:rPr>
          <w:rFonts w:cs="Arial"/>
        </w:rPr>
        <w:t xml:space="preserve"> making any further surgical intervention easier or unnecessary; </w:t>
      </w:r>
    </w:p>
    <w:p w14:paraId="14741D0D" w14:textId="77777777" w:rsidR="00AC04DD" w:rsidRDefault="00AC04DD" w:rsidP="00AC04DD">
      <w:pPr>
        <w:pStyle w:val="ListParagraph"/>
        <w:spacing w:before="240"/>
        <w:rPr>
          <w:rFonts w:cs="Arial"/>
        </w:rPr>
      </w:pPr>
    </w:p>
    <w:p w14:paraId="163A7E67" w14:textId="5398833C" w:rsidR="00AC04DD" w:rsidRDefault="00AC04DD" w:rsidP="00AC04DD">
      <w:pPr>
        <w:pStyle w:val="ListParagraph"/>
        <w:numPr>
          <w:ilvl w:val="0"/>
          <w:numId w:val="9"/>
        </w:numPr>
        <w:spacing w:before="240"/>
        <w:rPr>
          <w:rFonts w:cs="Arial"/>
        </w:rPr>
      </w:pPr>
      <w:r w:rsidRPr="1BEA4369">
        <w:rPr>
          <w:rFonts w:cs="Arial"/>
        </w:rPr>
        <w:t xml:space="preserve">in the case of cross-sex hormones, the development of physical features which </w:t>
      </w:r>
      <w:r w:rsidR="79DD0BC8" w:rsidRPr="1BEA4369">
        <w:rPr>
          <w:rFonts w:cs="Arial"/>
        </w:rPr>
        <w:t>complement</w:t>
      </w:r>
      <w:r w:rsidRPr="1BEA4369">
        <w:rPr>
          <w:rFonts w:cs="Arial"/>
        </w:rPr>
        <w:t xml:space="preserve"> </w:t>
      </w:r>
      <w:r w:rsidR="24D83772" w:rsidRPr="1BEA4369">
        <w:rPr>
          <w:rFonts w:cs="Arial"/>
        </w:rPr>
        <w:t xml:space="preserve">one’s </w:t>
      </w:r>
      <w:r w:rsidRPr="1BEA4369">
        <w:rPr>
          <w:rFonts w:cs="Arial"/>
        </w:rPr>
        <w:t xml:space="preserve">gender identity; </w:t>
      </w:r>
    </w:p>
    <w:p w14:paraId="560A7298" w14:textId="77777777" w:rsidR="00AC04DD" w:rsidRPr="00AC04DD" w:rsidRDefault="00AC04DD" w:rsidP="00AC04DD">
      <w:pPr>
        <w:pStyle w:val="ListParagraph"/>
        <w:rPr>
          <w:rFonts w:cs="Arial"/>
        </w:rPr>
      </w:pPr>
    </w:p>
    <w:p w14:paraId="09171843" w14:textId="6EF5B93A" w:rsidR="00AC04DD" w:rsidRDefault="00AC04DD" w:rsidP="00AC04DD">
      <w:pPr>
        <w:pStyle w:val="ListParagraph"/>
        <w:numPr>
          <w:ilvl w:val="0"/>
          <w:numId w:val="9"/>
        </w:numPr>
        <w:spacing w:before="240"/>
        <w:rPr>
          <w:rFonts w:cs="Arial"/>
        </w:rPr>
      </w:pPr>
      <w:r>
        <w:rPr>
          <w:rFonts w:cs="Arial"/>
        </w:rPr>
        <w:t xml:space="preserve">the </w:t>
      </w:r>
      <w:r w:rsidR="00FF611A">
        <w:rPr>
          <w:rFonts w:cs="Arial"/>
        </w:rPr>
        <w:t>alleviation</w:t>
      </w:r>
      <w:r>
        <w:rPr>
          <w:rFonts w:cs="Arial"/>
        </w:rPr>
        <w:t xml:space="preserve"> of distress associated with gender dysphoria; </w:t>
      </w:r>
    </w:p>
    <w:p w14:paraId="36C25FA2" w14:textId="77777777" w:rsidR="0095778C" w:rsidRPr="0095778C" w:rsidRDefault="0095778C" w:rsidP="0095778C">
      <w:pPr>
        <w:pStyle w:val="ListParagraph"/>
        <w:rPr>
          <w:rFonts w:cs="Arial"/>
        </w:rPr>
      </w:pPr>
    </w:p>
    <w:p w14:paraId="63CFD244" w14:textId="2B627322" w:rsidR="0095778C" w:rsidRDefault="0095778C" w:rsidP="00AC04DD">
      <w:pPr>
        <w:pStyle w:val="ListParagraph"/>
        <w:numPr>
          <w:ilvl w:val="0"/>
          <w:numId w:val="9"/>
        </w:numPr>
        <w:spacing w:before="240"/>
        <w:rPr>
          <w:rFonts w:cs="Arial"/>
        </w:rPr>
      </w:pPr>
      <w:r w:rsidRPr="4D73643E">
        <w:rPr>
          <w:rFonts w:cs="Arial"/>
        </w:rPr>
        <w:t>greater social acceptance</w:t>
      </w:r>
      <w:r w:rsidR="00E57E17" w:rsidRPr="4D73643E">
        <w:rPr>
          <w:rFonts w:cs="Arial"/>
        </w:rPr>
        <w:t xml:space="preserve"> and improved relationships</w:t>
      </w:r>
      <w:r w:rsidRPr="4D73643E">
        <w:rPr>
          <w:rFonts w:cs="Arial"/>
        </w:rPr>
        <w:t xml:space="preserve">; </w:t>
      </w:r>
    </w:p>
    <w:p w14:paraId="4D2A7C8D" w14:textId="77777777" w:rsidR="00AC04DD" w:rsidRPr="00AC04DD" w:rsidRDefault="00AC04DD" w:rsidP="00AC04DD">
      <w:pPr>
        <w:pStyle w:val="ListParagraph"/>
        <w:rPr>
          <w:rFonts w:cs="Arial"/>
        </w:rPr>
      </w:pPr>
    </w:p>
    <w:p w14:paraId="3BFC7283" w14:textId="7AE7B750" w:rsidR="00AC04DD" w:rsidRDefault="00AC04DD" w:rsidP="00AC04DD">
      <w:pPr>
        <w:pStyle w:val="ListParagraph"/>
        <w:numPr>
          <w:ilvl w:val="0"/>
          <w:numId w:val="9"/>
        </w:numPr>
        <w:spacing w:before="240"/>
        <w:rPr>
          <w:rFonts w:cs="Arial"/>
        </w:rPr>
      </w:pPr>
      <w:r w:rsidRPr="4D73643E">
        <w:rPr>
          <w:rFonts w:cs="Arial"/>
        </w:rPr>
        <w:t>improved psychological functioning; and</w:t>
      </w:r>
    </w:p>
    <w:p w14:paraId="5EC1D099" w14:textId="77777777" w:rsidR="00AC04DD" w:rsidRPr="00AC04DD" w:rsidRDefault="00AC04DD" w:rsidP="00AC04DD">
      <w:pPr>
        <w:pStyle w:val="ListParagraph"/>
        <w:rPr>
          <w:rFonts w:cs="Arial"/>
        </w:rPr>
      </w:pPr>
    </w:p>
    <w:p w14:paraId="24AD9C0B" w14:textId="267081B5" w:rsidR="00D811AB" w:rsidRPr="00D811AB" w:rsidRDefault="00AC04DD" w:rsidP="00D811AB">
      <w:pPr>
        <w:pStyle w:val="ListParagraph"/>
        <w:numPr>
          <w:ilvl w:val="0"/>
          <w:numId w:val="9"/>
        </w:numPr>
        <w:spacing w:before="240"/>
        <w:rPr>
          <w:rFonts w:cs="Arial"/>
        </w:rPr>
      </w:pPr>
      <w:r w:rsidRPr="4D73643E">
        <w:rPr>
          <w:rFonts w:cs="Arial"/>
        </w:rPr>
        <w:t xml:space="preserve">reduction of risks of suicidality and self-harming behaviours. </w:t>
      </w:r>
    </w:p>
    <w:p w14:paraId="6679EDA0" w14:textId="7F937A2A" w:rsidR="00AC04DD" w:rsidRDefault="00AC04DD" w:rsidP="00AC04DD">
      <w:pPr>
        <w:spacing w:before="240"/>
        <w:rPr>
          <w:rFonts w:cs="Arial"/>
        </w:rPr>
      </w:pPr>
      <w:r w:rsidRPr="49FBB93E">
        <w:rPr>
          <w:rFonts w:cs="Arial"/>
        </w:rPr>
        <w:t xml:space="preserve">These need to be weighed against a number of </w:t>
      </w:r>
      <w:r w:rsidR="00D6365D" w:rsidRPr="49FBB93E">
        <w:rPr>
          <w:rFonts w:cs="Arial"/>
        </w:rPr>
        <w:t>suggested</w:t>
      </w:r>
      <w:r w:rsidRPr="49FBB93E">
        <w:rPr>
          <w:rFonts w:cs="Arial"/>
        </w:rPr>
        <w:t xml:space="preserve"> harms, which include:</w:t>
      </w:r>
    </w:p>
    <w:p w14:paraId="6C422576" w14:textId="13570F8C" w:rsidR="00847B94" w:rsidRDefault="00847B94" w:rsidP="00AC04DD">
      <w:pPr>
        <w:pStyle w:val="ListParagraph"/>
        <w:numPr>
          <w:ilvl w:val="0"/>
          <w:numId w:val="9"/>
        </w:numPr>
        <w:spacing w:before="240"/>
        <w:rPr>
          <w:rFonts w:cs="Arial"/>
        </w:rPr>
      </w:pPr>
      <w:r>
        <w:rPr>
          <w:rFonts w:cs="Arial"/>
        </w:rPr>
        <w:t>unknown</w:t>
      </w:r>
      <w:r w:rsidR="00D2726D">
        <w:rPr>
          <w:rFonts w:cs="Arial"/>
        </w:rPr>
        <w:t xml:space="preserve"> or uncertain</w:t>
      </w:r>
      <w:r>
        <w:rPr>
          <w:rFonts w:cs="Arial"/>
        </w:rPr>
        <w:t xml:space="preserve"> long-term adverse effects of puberty blockers; </w:t>
      </w:r>
    </w:p>
    <w:p w14:paraId="79BBB1A7" w14:textId="77777777" w:rsidR="00847B94" w:rsidRDefault="00847B94" w:rsidP="00847B94">
      <w:pPr>
        <w:pStyle w:val="ListParagraph"/>
        <w:spacing w:before="240"/>
        <w:rPr>
          <w:rFonts w:cs="Arial"/>
        </w:rPr>
      </w:pPr>
    </w:p>
    <w:p w14:paraId="7A8B4D89" w14:textId="6D9CD938" w:rsidR="00AC04DD" w:rsidRDefault="4B318204" w:rsidP="00AC04DD">
      <w:pPr>
        <w:pStyle w:val="ListParagraph"/>
        <w:numPr>
          <w:ilvl w:val="0"/>
          <w:numId w:val="9"/>
        </w:numPr>
        <w:spacing w:before="240"/>
        <w:rPr>
          <w:rFonts w:cs="Arial"/>
        </w:rPr>
      </w:pPr>
      <w:r w:rsidRPr="1BEA4369">
        <w:rPr>
          <w:rFonts w:cs="Arial"/>
        </w:rPr>
        <w:t xml:space="preserve">in the case of puberty blockers, </w:t>
      </w:r>
      <w:r w:rsidR="00F87C86" w:rsidRPr="1BEA4369">
        <w:rPr>
          <w:rFonts w:cs="Arial"/>
        </w:rPr>
        <w:t>the risk of decreased bone density and increased risk of osteoporosis;</w:t>
      </w:r>
    </w:p>
    <w:p w14:paraId="61FCE908" w14:textId="77777777" w:rsidR="00F87C86" w:rsidRDefault="00F87C86" w:rsidP="00F87C86">
      <w:pPr>
        <w:pStyle w:val="ListParagraph"/>
        <w:spacing w:before="240"/>
        <w:rPr>
          <w:rFonts w:cs="Arial"/>
        </w:rPr>
      </w:pPr>
    </w:p>
    <w:p w14:paraId="0CA5A399" w14:textId="3298CE8D" w:rsidR="00F87C86" w:rsidRDefault="003402EE" w:rsidP="00AC04DD">
      <w:pPr>
        <w:pStyle w:val="ListParagraph"/>
        <w:numPr>
          <w:ilvl w:val="0"/>
          <w:numId w:val="9"/>
        </w:numPr>
        <w:spacing w:before="240"/>
        <w:rPr>
          <w:rFonts w:cs="Arial"/>
        </w:rPr>
      </w:pPr>
      <w:r w:rsidRPr="12886CA8">
        <w:rPr>
          <w:rFonts w:cs="Arial"/>
        </w:rPr>
        <w:t>adverse effects</w:t>
      </w:r>
      <w:r w:rsidR="00673C0A">
        <w:rPr>
          <w:rFonts w:cs="Arial"/>
        </w:rPr>
        <w:t xml:space="preserve"> on</w:t>
      </w:r>
      <w:r w:rsidRPr="12886CA8">
        <w:rPr>
          <w:rFonts w:cs="Arial"/>
        </w:rPr>
        <w:t xml:space="preserve"> </w:t>
      </w:r>
      <w:r w:rsidR="00673C0A">
        <w:rPr>
          <w:rFonts w:cs="Arial"/>
        </w:rPr>
        <w:t xml:space="preserve">brain function by blocking puberty’s normal role in cognitive development; </w:t>
      </w:r>
    </w:p>
    <w:p w14:paraId="76711D54" w14:textId="77777777" w:rsidR="00F87C86" w:rsidRDefault="00F87C86" w:rsidP="00F87C86">
      <w:pPr>
        <w:pStyle w:val="ListParagraph"/>
        <w:spacing w:before="240"/>
        <w:rPr>
          <w:rFonts w:cs="Arial"/>
        </w:rPr>
      </w:pPr>
    </w:p>
    <w:p w14:paraId="12BE4102" w14:textId="3167DC5F" w:rsidR="00AC04DD" w:rsidRDefault="00FF611A" w:rsidP="00FF611A">
      <w:pPr>
        <w:pStyle w:val="ListParagraph"/>
        <w:numPr>
          <w:ilvl w:val="0"/>
          <w:numId w:val="9"/>
        </w:numPr>
        <w:spacing w:before="240"/>
        <w:rPr>
          <w:rFonts w:cs="Arial"/>
        </w:rPr>
      </w:pPr>
      <w:r>
        <w:rPr>
          <w:rFonts w:cs="Arial"/>
        </w:rPr>
        <w:t>loss of fertility;</w:t>
      </w:r>
    </w:p>
    <w:p w14:paraId="1560C60B" w14:textId="77777777" w:rsidR="0095778C" w:rsidRPr="0095778C" w:rsidRDefault="0095778C" w:rsidP="0095778C">
      <w:pPr>
        <w:pStyle w:val="ListParagraph"/>
        <w:rPr>
          <w:rFonts w:cs="Arial"/>
        </w:rPr>
      </w:pPr>
    </w:p>
    <w:p w14:paraId="787E03B2" w14:textId="4697BEAB" w:rsidR="0095778C" w:rsidRPr="00FF611A" w:rsidRDefault="00246468" w:rsidP="00FF611A">
      <w:pPr>
        <w:pStyle w:val="ListParagraph"/>
        <w:numPr>
          <w:ilvl w:val="0"/>
          <w:numId w:val="9"/>
        </w:numPr>
        <w:spacing w:before="240"/>
        <w:rPr>
          <w:rFonts w:cs="Arial"/>
        </w:rPr>
      </w:pPr>
      <w:r>
        <w:rPr>
          <w:rFonts w:cs="Arial"/>
        </w:rPr>
        <w:t xml:space="preserve">the negative consequences of disrupting physiological puberty, given the role it might play in the </w:t>
      </w:r>
      <w:r w:rsidR="0095778C" w:rsidRPr="1BEA4369">
        <w:rPr>
          <w:rFonts w:cs="Arial"/>
        </w:rPr>
        <w:t xml:space="preserve">formation and development of </w:t>
      </w:r>
      <w:r>
        <w:rPr>
          <w:rFonts w:cs="Arial"/>
        </w:rPr>
        <w:t xml:space="preserve">a consistent </w:t>
      </w:r>
      <w:r w:rsidR="0095778C" w:rsidRPr="1BEA4369">
        <w:rPr>
          <w:rFonts w:cs="Arial"/>
        </w:rPr>
        <w:t>gender identity</w:t>
      </w:r>
      <w:r>
        <w:rPr>
          <w:rFonts w:cs="Arial"/>
        </w:rPr>
        <w:t xml:space="preserve">; </w:t>
      </w:r>
    </w:p>
    <w:p w14:paraId="455B8369" w14:textId="77777777" w:rsidR="00FF611A" w:rsidRDefault="00FF611A" w:rsidP="00FF611A">
      <w:pPr>
        <w:pStyle w:val="ListParagraph"/>
        <w:spacing w:before="240"/>
        <w:rPr>
          <w:rFonts w:cs="Arial"/>
        </w:rPr>
      </w:pPr>
    </w:p>
    <w:p w14:paraId="3012120B" w14:textId="2912E373" w:rsidR="00FF611A" w:rsidRDefault="4698C882" w:rsidP="00AC04DD">
      <w:pPr>
        <w:pStyle w:val="ListParagraph"/>
        <w:numPr>
          <w:ilvl w:val="0"/>
          <w:numId w:val="9"/>
        </w:numPr>
        <w:spacing w:before="240"/>
        <w:rPr>
          <w:rFonts w:cs="Arial"/>
        </w:rPr>
      </w:pPr>
      <w:r w:rsidRPr="4D73643E">
        <w:rPr>
          <w:rFonts w:cs="Arial"/>
        </w:rPr>
        <w:lastRenderedPageBreak/>
        <w:t xml:space="preserve">adverse </w:t>
      </w:r>
      <w:r w:rsidR="00FF611A" w:rsidRPr="4D73643E">
        <w:rPr>
          <w:rFonts w:cs="Arial"/>
        </w:rPr>
        <w:t>impacts on social and emotional function - for example, the feeling of being ‘left behind’ or ‘out of sync’ with peers who will be going through puberty;</w:t>
      </w:r>
    </w:p>
    <w:p w14:paraId="79034F3D" w14:textId="77777777" w:rsidR="00FF611A" w:rsidRPr="00FF611A" w:rsidRDefault="00FF611A" w:rsidP="00FF611A">
      <w:pPr>
        <w:pStyle w:val="ListParagraph"/>
        <w:rPr>
          <w:rFonts w:cs="Arial"/>
        </w:rPr>
      </w:pPr>
    </w:p>
    <w:p w14:paraId="21669F8B" w14:textId="7A37B083" w:rsidR="00FF611A" w:rsidRDefault="00FF611A" w:rsidP="00AC04DD">
      <w:pPr>
        <w:pStyle w:val="ListParagraph"/>
        <w:numPr>
          <w:ilvl w:val="0"/>
          <w:numId w:val="9"/>
        </w:numPr>
        <w:spacing w:before="240"/>
        <w:rPr>
          <w:rFonts w:cs="Arial"/>
        </w:rPr>
      </w:pPr>
      <w:r w:rsidRPr="4D73643E">
        <w:rPr>
          <w:rFonts w:cs="Arial"/>
        </w:rPr>
        <w:t>inhibition of age</w:t>
      </w:r>
      <w:r w:rsidR="16CB42A2" w:rsidRPr="4D73643E">
        <w:rPr>
          <w:rFonts w:cs="Arial"/>
        </w:rPr>
        <w:t>-</w:t>
      </w:r>
      <w:r w:rsidRPr="4D73643E">
        <w:rPr>
          <w:rFonts w:cs="Arial"/>
        </w:rPr>
        <w:t>appropriate sexual and romantic development and exploration</w:t>
      </w:r>
      <w:r w:rsidR="0095778C" w:rsidRPr="4D73643E">
        <w:rPr>
          <w:rFonts w:cs="Arial"/>
        </w:rPr>
        <w:t xml:space="preserve">; </w:t>
      </w:r>
    </w:p>
    <w:p w14:paraId="404AF5AE" w14:textId="77777777" w:rsidR="00FF611A" w:rsidRPr="00FF611A" w:rsidRDefault="00FF611A" w:rsidP="00FF611A">
      <w:pPr>
        <w:pStyle w:val="ListParagraph"/>
        <w:rPr>
          <w:rFonts w:cs="Arial"/>
        </w:rPr>
      </w:pPr>
    </w:p>
    <w:p w14:paraId="09DD6D0F" w14:textId="410CF17D" w:rsidR="009D18CB" w:rsidRDefault="00FF611A" w:rsidP="00FB118B">
      <w:pPr>
        <w:pStyle w:val="ListParagraph"/>
        <w:numPr>
          <w:ilvl w:val="0"/>
          <w:numId w:val="9"/>
        </w:numPr>
        <w:spacing w:before="240"/>
        <w:rPr>
          <w:rFonts w:cs="Arial"/>
        </w:rPr>
      </w:pPr>
      <w:r w:rsidRPr="7EF5A3C6">
        <w:rPr>
          <w:rFonts w:cs="Arial"/>
        </w:rPr>
        <w:t xml:space="preserve">later </w:t>
      </w:r>
      <w:r w:rsidR="00AC04DD" w:rsidRPr="7EF5A3C6">
        <w:rPr>
          <w:rFonts w:cs="Arial"/>
        </w:rPr>
        <w:t>regret and distress</w:t>
      </w:r>
      <w:r w:rsidR="009D18CB" w:rsidRPr="7EF5A3C6">
        <w:rPr>
          <w:rFonts w:cs="Arial"/>
        </w:rPr>
        <w:t xml:space="preserve"> at an earlier decision</w:t>
      </w:r>
      <w:r w:rsidR="003D1775">
        <w:rPr>
          <w:rStyle w:val="CommentReference"/>
        </w:rPr>
        <w:t>;</w:t>
      </w:r>
      <w:r w:rsidR="009D18CB" w:rsidRPr="7EF5A3C6">
        <w:rPr>
          <w:rFonts w:cs="Arial"/>
        </w:rPr>
        <w:t xml:space="preserve"> and</w:t>
      </w:r>
    </w:p>
    <w:p w14:paraId="0EAD7EBE" w14:textId="77777777" w:rsidR="009D18CB" w:rsidRPr="009D18CB" w:rsidRDefault="009D18CB" w:rsidP="009D18CB">
      <w:pPr>
        <w:pStyle w:val="ListParagraph"/>
        <w:rPr>
          <w:rFonts w:cs="Arial"/>
        </w:rPr>
      </w:pPr>
    </w:p>
    <w:p w14:paraId="79866252" w14:textId="3FBC663A" w:rsidR="00FB118B" w:rsidRPr="00FB118B" w:rsidRDefault="009D18CB" w:rsidP="00FB118B">
      <w:pPr>
        <w:pStyle w:val="ListParagraph"/>
        <w:numPr>
          <w:ilvl w:val="0"/>
          <w:numId w:val="9"/>
        </w:numPr>
        <w:spacing w:before="240"/>
        <w:rPr>
          <w:rFonts w:cs="Arial"/>
        </w:rPr>
      </w:pPr>
      <w:r>
        <w:rPr>
          <w:rFonts w:cs="Arial"/>
        </w:rPr>
        <w:t xml:space="preserve">for some individuals, a decision to desist or </w:t>
      </w:r>
      <w:proofErr w:type="spellStart"/>
      <w:r>
        <w:rPr>
          <w:rFonts w:cs="Arial"/>
        </w:rPr>
        <w:t>detransition</w:t>
      </w:r>
      <w:proofErr w:type="spellEnd"/>
      <w:r>
        <w:rPr>
          <w:rFonts w:cs="Arial"/>
        </w:rPr>
        <w:t xml:space="preserve"> if gender identity subsequently changes </w:t>
      </w:r>
      <w:r w:rsidR="003402EE" w:rsidRPr="0C8F09DC">
        <w:rPr>
          <w:rFonts w:cs="Arial"/>
        </w:rPr>
        <w:t xml:space="preserve"> - with no reliable way of distinguishing between those individuals</w:t>
      </w:r>
      <w:r w:rsidR="22B033FB" w:rsidRPr="0C8F09DC">
        <w:rPr>
          <w:rFonts w:cs="Arial"/>
        </w:rPr>
        <w:t xml:space="preserve"> </w:t>
      </w:r>
      <w:r w:rsidR="003402EE" w:rsidRPr="0C8F09DC">
        <w:rPr>
          <w:rFonts w:cs="Arial"/>
        </w:rPr>
        <w:t>who will persist in their gender identities</w:t>
      </w:r>
      <w:r w:rsidR="00962691" w:rsidRPr="0C8F09DC">
        <w:rPr>
          <w:rFonts w:cs="Arial"/>
        </w:rPr>
        <w:t xml:space="preserve"> and benefit from treatment</w:t>
      </w:r>
      <w:r w:rsidR="0E4BA13A" w:rsidRPr="0C8F09DC">
        <w:rPr>
          <w:rFonts w:cs="Arial"/>
        </w:rPr>
        <w:t xml:space="preserve"> and those who will not</w:t>
      </w:r>
      <w:r w:rsidR="003402EE" w:rsidRPr="0C8F09DC">
        <w:rPr>
          <w:rFonts w:cs="Arial"/>
        </w:rPr>
        <w:t>.</w:t>
      </w:r>
      <w:r w:rsidR="00F87C86" w:rsidRPr="0C8F09DC">
        <w:rPr>
          <w:rFonts w:cs="Arial"/>
        </w:rPr>
        <w:t xml:space="preserve"> </w:t>
      </w:r>
    </w:p>
    <w:p w14:paraId="03954948" w14:textId="77777777" w:rsidR="00FB118B" w:rsidRDefault="00FB118B" w:rsidP="00FB118B">
      <w:pPr>
        <w:pStyle w:val="ListParagraph"/>
        <w:rPr>
          <w:rFonts w:cs="Arial"/>
          <w:b/>
          <w:bCs/>
        </w:rPr>
      </w:pPr>
    </w:p>
    <w:p w14:paraId="0234C856" w14:textId="79A32A28" w:rsidR="004B30C0" w:rsidRPr="00C61830" w:rsidRDefault="004B30C0" w:rsidP="00C61830">
      <w:pPr>
        <w:pStyle w:val="ListParagraph"/>
        <w:numPr>
          <w:ilvl w:val="0"/>
          <w:numId w:val="5"/>
        </w:numPr>
        <w:rPr>
          <w:rFonts w:cs="Arial"/>
          <w:b/>
          <w:bCs/>
        </w:rPr>
      </w:pPr>
      <w:r w:rsidRPr="4D73643E">
        <w:rPr>
          <w:rFonts w:cs="Arial"/>
          <w:b/>
          <w:bCs/>
        </w:rPr>
        <w:t xml:space="preserve">How should the </w:t>
      </w:r>
      <w:r w:rsidR="1BA21F55" w:rsidRPr="4D73643E">
        <w:rPr>
          <w:rFonts w:cs="Arial"/>
          <w:b/>
          <w:bCs/>
        </w:rPr>
        <w:t xml:space="preserve">possible </w:t>
      </w:r>
      <w:r w:rsidR="009733F7" w:rsidRPr="4D73643E">
        <w:rPr>
          <w:rFonts w:cs="Arial"/>
          <w:b/>
          <w:bCs/>
        </w:rPr>
        <w:t>benefits and harms of treatment and non-treatment</w:t>
      </w:r>
      <w:r w:rsidR="220DEF03" w:rsidRPr="4D73643E">
        <w:rPr>
          <w:rFonts w:cs="Arial"/>
          <w:b/>
          <w:bCs/>
        </w:rPr>
        <w:t xml:space="preserve"> be weighed</w:t>
      </w:r>
      <w:r w:rsidR="009733F7" w:rsidRPr="4D73643E">
        <w:rPr>
          <w:rFonts w:cs="Arial"/>
          <w:b/>
          <w:bCs/>
        </w:rPr>
        <w:t xml:space="preserve">? </w:t>
      </w:r>
    </w:p>
    <w:p w14:paraId="3DF62E75" w14:textId="7704EF6C" w:rsidR="004B30C0" w:rsidRDefault="004B30C0" w:rsidP="004B30C0">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5CB3F847" w14:textId="0449FD95" w:rsidTr="004B30C0">
        <w:tc>
          <w:tcPr>
            <w:tcW w:w="9016" w:type="dxa"/>
          </w:tcPr>
          <w:p w14:paraId="28612695" w14:textId="1361FD45" w:rsidR="004B30C0" w:rsidRDefault="004B30C0" w:rsidP="004B30C0">
            <w:pPr>
              <w:pStyle w:val="ListParagraph"/>
              <w:ind w:left="0"/>
              <w:rPr>
                <w:b/>
                <w:bCs/>
              </w:rPr>
            </w:pPr>
          </w:p>
          <w:p w14:paraId="3211F813" w14:textId="313DFD6F" w:rsidR="004B30C0" w:rsidRDefault="004B30C0" w:rsidP="004B30C0">
            <w:pPr>
              <w:pStyle w:val="ListParagraph"/>
              <w:ind w:left="0"/>
              <w:rPr>
                <w:b/>
                <w:bCs/>
              </w:rPr>
            </w:pPr>
          </w:p>
          <w:p w14:paraId="3CFB5DB5" w14:textId="77777777" w:rsidR="004B30C0" w:rsidRDefault="004B30C0" w:rsidP="004B30C0">
            <w:pPr>
              <w:pStyle w:val="ListParagraph"/>
              <w:ind w:left="0"/>
              <w:rPr>
                <w:b/>
                <w:bCs/>
              </w:rPr>
            </w:pPr>
          </w:p>
          <w:p w14:paraId="7666B17D" w14:textId="0E6B146D" w:rsidR="009733F7" w:rsidRDefault="009733F7" w:rsidP="004B30C0">
            <w:pPr>
              <w:pStyle w:val="ListParagraph"/>
              <w:ind w:left="0"/>
              <w:rPr>
                <w:b/>
                <w:bCs/>
              </w:rPr>
            </w:pPr>
          </w:p>
        </w:tc>
      </w:tr>
    </w:tbl>
    <w:p w14:paraId="7F489CF9" w14:textId="3F0C7751" w:rsidR="004B30C0" w:rsidRDefault="004B30C0" w:rsidP="004B30C0">
      <w:pPr>
        <w:rPr>
          <w:rFonts w:cs="Arial"/>
          <w:b/>
          <w:bCs/>
        </w:rPr>
      </w:pPr>
    </w:p>
    <w:p w14:paraId="611D2C5A" w14:textId="7B48F26F" w:rsidR="004B30C0" w:rsidRDefault="00C61830" w:rsidP="00C61830">
      <w:pPr>
        <w:pStyle w:val="ListParagraph"/>
        <w:numPr>
          <w:ilvl w:val="0"/>
          <w:numId w:val="5"/>
        </w:numPr>
        <w:rPr>
          <w:rFonts w:cs="Arial"/>
          <w:b/>
          <w:bCs/>
        </w:rPr>
      </w:pPr>
      <w:r w:rsidRPr="00C61830">
        <w:rPr>
          <w:rFonts w:cs="Arial"/>
          <w:b/>
          <w:bCs/>
        </w:rPr>
        <w:t xml:space="preserve">How should we balance the needs of young people who will </w:t>
      </w:r>
      <w:r w:rsidR="007B1149">
        <w:rPr>
          <w:rFonts w:cs="Arial"/>
          <w:b/>
          <w:bCs/>
        </w:rPr>
        <w:t>become</w:t>
      </w:r>
      <w:r w:rsidRPr="00C61830">
        <w:rPr>
          <w:rFonts w:cs="Arial"/>
          <w:b/>
          <w:bCs/>
        </w:rPr>
        <w:t xml:space="preserve"> trans adults (‘</w:t>
      </w:r>
      <w:proofErr w:type="spellStart"/>
      <w:r w:rsidRPr="00C61830">
        <w:rPr>
          <w:rFonts w:cs="Arial"/>
          <w:b/>
          <w:bCs/>
        </w:rPr>
        <w:t>persisters</w:t>
      </w:r>
      <w:proofErr w:type="spellEnd"/>
      <w:r w:rsidRPr="00C61830">
        <w:rPr>
          <w:rFonts w:cs="Arial"/>
          <w:b/>
          <w:bCs/>
        </w:rPr>
        <w:t>’) with those who will not (‘</w:t>
      </w:r>
      <w:proofErr w:type="spellStart"/>
      <w:r w:rsidRPr="00C61830">
        <w:rPr>
          <w:rFonts w:cs="Arial"/>
          <w:b/>
          <w:bCs/>
        </w:rPr>
        <w:t>desisters</w:t>
      </w:r>
      <w:proofErr w:type="spellEnd"/>
      <w:r w:rsidRPr="00C61830">
        <w:rPr>
          <w:rFonts w:cs="Arial"/>
          <w:b/>
          <w:bCs/>
        </w:rPr>
        <w:t>’) if we cannot reliably distinguish between the two?</w:t>
      </w:r>
    </w:p>
    <w:p w14:paraId="751021D2" w14:textId="77777777" w:rsidR="009733F7" w:rsidRDefault="009733F7" w:rsidP="009733F7">
      <w:pPr>
        <w:pStyle w:val="ListParagraph"/>
        <w:rPr>
          <w:rFonts w:cs="Arial"/>
          <w:b/>
          <w:bCs/>
        </w:rPr>
      </w:pPr>
    </w:p>
    <w:tbl>
      <w:tblPr>
        <w:tblStyle w:val="TableGrid"/>
        <w:tblW w:w="0" w:type="auto"/>
        <w:tblInd w:w="720" w:type="dxa"/>
        <w:tblLook w:val="04A0" w:firstRow="1" w:lastRow="0" w:firstColumn="1" w:lastColumn="0" w:noHBand="0" w:noVBand="1"/>
      </w:tblPr>
      <w:tblGrid>
        <w:gridCol w:w="8296"/>
      </w:tblGrid>
      <w:tr w:rsidR="004B30C0" w14:paraId="3011A429" w14:textId="77777777" w:rsidTr="004B30C0">
        <w:tc>
          <w:tcPr>
            <w:tcW w:w="9016" w:type="dxa"/>
          </w:tcPr>
          <w:p w14:paraId="373B6BA3" w14:textId="06EE744C" w:rsidR="004B30C0" w:rsidRDefault="004B30C0" w:rsidP="004B30C0">
            <w:pPr>
              <w:pStyle w:val="ListParagraph"/>
              <w:ind w:left="0"/>
              <w:rPr>
                <w:b/>
                <w:bCs/>
              </w:rPr>
            </w:pPr>
          </w:p>
          <w:p w14:paraId="04F03698" w14:textId="77777777" w:rsidR="009733F7" w:rsidRDefault="009733F7" w:rsidP="004B30C0">
            <w:pPr>
              <w:pStyle w:val="ListParagraph"/>
              <w:ind w:left="0"/>
              <w:rPr>
                <w:b/>
                <w:bCs/>
              </w:rPr>
            </w:pPr>
          </w:p>
          <w:p w14:paraId="7D9D181D" w14:textId="77777777" w:rsidR="004B30C0" w:rsidRDefault="004B30C0" w:rsidP="004B30C0">
            <w:pPr>
              <w:pStyle w:val="ListParagraph"/>
              <w:ind w:left="0"/>
              <w:rPr>
                <w:b/>
                <w:bCs/>
              </w:rPr>
            </w:pPr>
          </w:p>
          <w:p w14:paraId="0EB310D1" w14:textId="77777777" w:rsidR="004B30C0" w:rsidRDefault="004B30C0" w:rsidP="004B30C0">
            <w:pPr>
              <w:pStyle w:val="ListParagraph"/>
              <w:ind w:left="0"/>
              <w:rPr>
                <w:b/>
                <w:bCs/>
              </w:rPr>
            </w:pPr>
          </w:p>
          <w:p w14:paraId="0698D435" w14:textId="77777777" w:rsidR="004B30C0" w:rsidRDefault="004B30C0" w:rsidP="004B30C0">
            <w:pPr>
              <w:pStyle w:val="ListParagraph"/>
              <w:ind w:left="0"/>
              <w:rPr>
                <w:b/>
                <w:bCs/>
              </w:rPr>
            </w:pPr>
          </w:p>
        </w:tc>
      </w:tr>
    </w:tbl>
    <w:p w14:paraId="34D1BFC7" w14:textId="77777777" w:rsidR="00A71B22" w:rsidRPr="001872FE" w:rsidRDefault="00A71B22" w:rsidP="004B30C0">
      <w:pPr>
        <w:spacing w:before="240"/>
        <w:rPr>
          <w:rFonts w:cs="Arial"/>
          <w:b/>
          <w:bCs/>
        </w:rPr>
      </w:pPr>
    </w:p>
    <w:p w14:paraId="3511EAE7" w14:textId="2F96125D" w:rsidR="00FF64F2" w:rsidRDefault="00C61830" w:rsidP="00124822">
      <w:pPr>
        <w:pStyle w:val="ListParagraph"/>
        <w:numPr>
          <w:ilvl w:val="0"/>
          <w:numId w:val="5"/>
        </w:numPr>
        <w:spacing w:before="240"/>
        <w:rPr>
          <w:rFonts w:cs="Arial"/>
          <w:b/>
          <w:bCs/>
        </w:rPr>
      </w:pPr>
      <w:r w:rsidRPr="4D73643E">
        <w:rPr>
          <w:rFonts w:cs="Arial"/>
          <w:b/>
          <w:bCs/>
        </w:rPr>
        <w:t xml:space="preserve">How should the evidence on desistence and </w:t>
      </w:r>
      <w:proofErr w:type="spellStart"/>
      <w:r w:rsidRPr="4D73643E">
        <w:rPr>
          <w:rFonts w:cs="Arial"/>
          <w:b/>
          <w:bCs/>
        </w:rPr>
        <w:t>detransition</w:t>
      </w:r>
      <w:r w:rsidR="7AF491ED" w:rsidRPr="4D73643E">
        <w:rPr>
          <w:rFonts w:cs="Arial"/>
          <w:b/>
          <w:bCs/>
        </w:rPr>
        <w:t>ing</w:t>
      </w:r>
      <w:proofErr w:type="spellEnd"/>
      <w:r w:rsidRPr="4D73643E">
        <w:rPr>
          <w:rFonts w:cs="Arial"/>
          <w:b/>
          <w:bCs/>
        </w:rPr>
        <w:t xml:space="preserve"> be factored into decisions on whether and when children and adolescents should be permitted to embark on different stages of treatment?</w:t>
      </w:r>
    </w:p>
    <w:p w14:paraId="2F347667" w14:textId="77777777" w:rsidR="00124822" w:rsidRPr="00124822" w:rsidRDefault="00124822" w:rsidP="00124822">
      <w:pPr>
        <w:pStyle w:val="ListParagraph"/>
        <w:spacing w:before="240"/>
        <w:rPr>
          <w:rFonts w:cs="Arial"/>
          <w:b/>
          <w:bCs/>
        </w:rPr>
      </w:pPr>
    </w:p>
    <w:tbl>
      <w:tblPr>
        <w:tblStyle w:val="TableGrid"/>
        <w:tblW w:w="0" w:type="auto"/>
        <w:tblInd w:w="720" w:type="dxa"/>
        <w:tblLook w:val="04A0" w:firstRow="1" w:lastRow="0" w:firstColumn="1" w:lastColumn="0" w:noHBand="0" w:noVBand="1"/>
      </w:tblPr>
      <w:tblGrid>
        <w:gridCol w:w="8296"/>
      </w:tblGrid>
      <w:tr w:rsidR="004B30C0" w14:paraId="2C388570" w14:textId="04C41BA9" w:rsidTr="004B30C0">
        <w:tc>
          <w:tcPr>
            <w:tcW w:w="9016" w:type="dxa"/>
          </w:tcPr>
          <w:p w14:paraId="622EFADB" w14:textId="0DC5E3F9" w:rsidR="004B30C0" w:rsidRDefault="004B30C0" w:rsidP="004B30C0">
            <w:pPr>
              <w:pStyle w:val="ListParagraph"/>
              <w:spacing w:before="240"/>
              <w:ind w:left="0"/>
              <w:rPr>
                <w:b/>
                <w:bCs/>
              </w:rPr>
            </w:pPr>
          </w:p>
          <w:p w14:paraId="3F5A8CD5" w14:textId="3033157D" w:rsidR="004B30C0" w:rsidRDefault="004B30C0" w:rsidP="004B30C0">
            <w:pPr>
              <w:pStyle w:val="ListParagraph"/>
              <w:spacing w:before="240"/>
              <w:ind w:left="0"/>
              <w:rPr>
                <w:b/>
                <w:bCs/>
              </w:rPr>
            </w:pPr>
          </w:p>
          <w:p w14:paraId="32CC1894" w14:textId="77777777" w:rsidR="00797248" w:rsidRDefault="00797248" w:rsidP="004B30C0">
            <w:pPr>
              <w:pStyle w:val="ListParagraph"/>
              <w:spacing w:before="240"/>
              <w:ind w:left="0"/>
              <w:rPr>
                <w:b/>
                <w:bCs/>
              </w:rPr>
            </w:pPr>
          </w:p>
          <w:p w14:paraId="0FD9A917" w14:textId="3139782D" w:rsidR="004B30C0" w:rsidRDefault="004B30C0" w:rsidP="004B30C0">
            <w:pPr>
              <w:pStyle w:val="ListParagraph"/>
              <w:spacing w:before="240"/>
              <w:ind w:left="0"/>
              <w:rPr>
                <w:b/>
                <w:bCs/>
              </w:rPr>
            </w:pPr>
          </w:p>
        </w:tc>
      </w:tr>
    </w:tbl>
    <w:p w14:paraId="0F63E85E" w14:textId="77777777" w:rsidR="004B30C0" w:rsidRPr="0051138C" w:rsidRDefault="004B30C0" w:rsidP="004B30C0">
      <w:pPr>
        <w:pStyle w:val="ListParagraph"/>
        <w:spacing w:before="240"/>
        <w:rPr>
          <w:rFonts w:cs="Arial"/>
          <w:b/>
          <w:bCs/>
        </w:rPr>
      </w:pPr>
    </w:p>
    <w:p w14:paraId="71455377" w14:textId="1341611C" w:rsidR="00347280" w:rsidRPr="00DB7003" w:rsidRDefault="00DB7003" w:rsidP="007914AA">
      <w:pPr>
        <w:pStyle w:val="ListParagraph"/>
        <w:numPr>
          <w:ilvl w:val="0"/>
          <w:numId w:val="5"/>
        </w:numPr>
        <w:spacing w:after="0"/>
        <w:contextualSpacing w:val="0"/>
      </w:pPr>
      <w:r w:rsidRPr="00DB7003">
        <w:rPr>
          <w:rFonts w:cs="Arial"/>
          <w:b/>
          <w:bCs/>
        </w:rPr>
        <w:t xml:space="preserve">What are the ethical implications of providing treatment </w:t>
      </w:r>
      <w:r w:rsidR="007418A8">
        <w:rPr>
          <w:rFonts w:cs="Arial"/>
          <w:b/>
          <w:bCs/>
        </w:rPr>
        <w:t>that</w:t>
      </w:r>
      <w:r w:rsidRPr="00DB7003">
        <w:rPr>
          <w:rFonts w:cs="Arial"/>
          <w:b/>
          <w:bCs/>
        </w:rPr>
        <w:t xml:space="preserve"> children and adolescents might later regret</w:t>
      </w:r>
      <w:r w:rsidR="00137D45">
        <w:rPr>
          <w:rFonts w:cs="Arial"/>
          <w:b/>
          <w:bCs/>
        </w:rPr>
        <w:t xml:space="preserve"> or</w:t>
      </w:r>
      <w:r w:rsidR="00127B5B">
        <w:rPr>
          <w:rFonts w:cs="Arial"/>
          <w:b/>
          <w:bCs/>
        </w:rPr>
        <w:t xml:space="preserve"> reconsider? </w:t>
      </w:r>
      <w:r w:rsidRPr="00DB7003">
        <w:rPr>
          <w:rFonts w:cs="Arial"/>
          <w:b/>
          <w:bCs/>
        </w:rPr>
        <w:t xml:space="preserve"> </w:t>
      </w:r>
    </w:p>
    <w:p w14:paraId="7217595C" w14:textId="77777777" w:rsidR="00DB7003" w:rsidRPr="00347280" w:rsidRDefault="00DB7003" w:rsidP="00DB7003">
      <w:pPr>
        <w:pStyle w:val="ListParagraph"/>
        <w:spacing w:after="0"/>
        <w:contextualSpacing w:val="0"/>
      </w:pPr>
    </w:p>
    <w:tbl>
      <w:tblPr>
        <w:tblStyle w:val="TableGrid"/>
        <w:tblW w:w="0" w:type="auto"/>
        <w:tblInd w:w="720" w:type="dxa"/>
        <w:tblLook w:val="04A0" w:firstRow="1" w:lastRow="0" w:firstColumn="1" w:lastColumn="0" w:noHBand="0" w:noVBand="1"/>
      </w:tblPr>
      <w:tblGrid>
        <w:gridCol w:w="8296"/>
      </w:tblGrid>
      <w:tr w:rsidR="004B30C0" w14:paraId="27AA2AF1" w14:textId="77777777" w:rsidTr="004B30C0">
        <w:tc>
          <w:tcPr>
            <w:tcW w:w="9016" w:type="dxa"/>
          </w:tcPr>
          <w:p w14:paraId="5A3CC706" w14:textId="504C85D7" w:rsidR="004B30C0" w:rsidRDefault="004B30C0" w:rsidP="004B30C0">
            <w:pPr>
              <w:pStyle w:val="ListParagraph"/>
              <w:ind w:left="0"/>
            </w:pPr>
          </w:p>
          <w:p w14:paraId="22B77920" w14:textId="77777777" w:rsidR="00DB7003" w:rsidRDefault="00DB7003" w:rsidP="004B30C0">
            <w:pPr>
              <w:pStyle w:val="ListParagraph"/>
              <w:ind w:left="0"/>
            </w:pPr>
          </w:p>
          <w:p w14:paraId="68AC16EE" w14:textId="77777777" w:rsidR="004B30C0" w:rsidRDefault="004B30C0" w:rsidP="004B30C0">
            <w:pPr>
              <w:pStyle w:val="ListParagraph"/>
              <w:ind w:left="0"/>
            </w:pPr>
          </w:p>
          <w:p w14:paraId="2CF89BED" w14:textId="77777777" w:rsidR="004B30C0" w:rsidRDefault="004B30C0" w:rsidP="004B30C0">
            <w:pPr>
              <w:pStyle w:val="ListParagraph"/>
              <w:ind w:left="0"/>
            </w:pPr>
          </w:p>
          <w:p w14:paraId="5882A96A" w14:textId="77777777" w:rsidR="004B30C0" w:rsidRDefault="004B30C0" w:rsidP="004B30C0">
            <w:pPr>
              <w:pStyle w:val="ListParagraph"/>
              <w:ind w:left="0"/>
            </w:pPr>
          </w:p>
        </w:tc>
      </w:tr>
    </w:tbl>
    <w:p w14:paraId="463E1473" w14:textId="77777777" w:rsidR="004B30C0" w:rsidRPr="007E5409" w:rsidRDefault="004B30C0" w:rsidP="004B30C0">
      <w:pPr>
        <w:pStyle w:val="ListParagraph"/>
        <w:spacing w:after="0"/>
        <w:rPr>
          <w:rFonts w:cs="Arial"/>
        </w:rPr>
      </w:pPr>
    </w:p>
    <w:p w14:paraId="56A362C2" w14:textId="77777777" w:rsidR="004B30C0" w:rsidRDefault="004B30C0" w:rsidP="004B30C0">
      <w:pPr>
        <w:pStyle w:val="ListParagraph"/>
        <w:spacing w:after="0"/>
        <w:ind w:left="1434"/>
        <w:rPr>
          <w:rFonts w:cs="Arial"/>
          <w:b/>
          <w:bCs/>
        </w:rPr>
      </w:pPr>
    </w:p>
    <w:p w14:paraId="626BE19C" w14:textId="5FBAFEED" w:rsidR="00C61830" w:rsidRDefault="00C61830" w:rsidP="000526CF">
      <w:pPr>
        <w:pStyle w:val="ListParagraph"/>
        <w:spacing w:after="0"/>
        <w:ind w:left="1434"/>
        <w:rPr>
          <w:rFonts w:cs="Arial"/>
        </w:rPr>
      </w:pPr>
    </w:p>
    <w:p w14:paraId="23D2C176" w14:textId="67548CE7" w:rsidR="00C61830" w:rsidRDefault="00C61830" w:rsidP="000526CF">
      <w:pPr>
        <w:pStyle w:val="ListParagraph"/>
        <w:spacing w:after="0"/>
        <w:ind w:left="1434"/>
        <w:rPr>
          <w:rFonts w:cs="Arial"/>
        </w:rPr>
      </w:pPr>
    </w:p>
    <w:p w14:paraId="31AE6D3C" w14:textId="0BA15F2E" w:rsidR="00C61830" w:rsidRDefault="00C61830" w:rsidP="000526CF">
      <w:pPr>
        <w:pStyle w:val="ListParagraph"/>
        <w:spacing w:after="0"/>
        <w:ind w:left="1434"/>
        <w:rPr>
          <w:rFonts w:cs="Arial"/>
        </w:rPr>
      </w:pPr>
    </w:p>
    <w:p w14:paraId="48CD2D05" w14:textId="0244F355" w:rsidR="00C61830" w:rsidRDefault="00C61830" w:rsidP="000526CF">
      <w:pPr>
        <w:pStyle w:val="ListParagraph"/>
        <w:spacing w:after="0"/>
        <w:ind w:left="1434"/>
        <w:rPr>
          <w:rFonts w:cs="Arial"/>
        </w:rPr>
      </w:pPr>
    </w:p>
    <w:p w14:paraId="2A37C78A" w14:textId="38EED3CD" w:rsidR="00C61830" w:rsidRDefault="00C61830" w:rsidP="000526CF">
      <w:pPr>
        <w:pStyle w:val="ListParagraph"/>
        <w:spacing w:after="0"/>
        <w:ind w:left="1434"/>
        <w:rPr>
          <w:rFonts w:cs="Arial"/>
        </w:rPr>
      </w:pPr>
    </w:p>
    <w:p w14:paraId="3D4021B6" w14:textId="605A0C78" w:rsidR="00C61830" w:rsidRDefault="00C61830" w:rsidP="000526CF">
      <w:pPr>
        <w:pStyle w:val="ListParagraph"/>
        <w:spacing w:after="0"/>
        <w:ind w:left="1434"/>
        <w:rPr>
          <w:rFonts w:cs="Arial"/>
        </w:rPr>
      </w:pPr>
    </w:p>
    <w:p w14:paraId="799D5120" w14:textId="233E2A4B" w:rsidR="00C61830" w:rsidRDefault="00C61830" w:rsidP="000526CF">
      <w:pPr>
        <w:pStyle w:val="ListParagraph"/>
        <w:spacing w:after="0"/>
        <w:ind w:left="1434"/>
        <w:rPr>
          <w:rFonts w:cs="Arial"/>
        </w:rPr>
      </w:pPr>
    </w:p>
    <w:p w14:paraId="22E947DB" w14:textId="0F860435" w:rsidR="00C61830" w:rsidRDefault="00C61830" w:rsidP="000526CF">
      <w:pPr>
        <w:pStyle w:val="ListParagraph"/>
        <w:spacing w:after="0"/>
        <w:ind w:left="1434"/>
        <w:rPr>
          <w:rFonts w:cs="Arial"/>
        </w:rPr>
      </w:pPr>
    </w:p>
    <w:p w14:paraId="235C24F2" w14:textId="21021A87" w:rsidR="00DB7003" w:rsidRDefault="00DB7003" w:rsidP="000526CF">
      <w:pPr>
        <w:pStyle w:val="ListParagraph"/>
        <w:spacing w:after="0"/>
        <w:ind w:left="1434"/>
        <w:rPr>
          <w:rFonts w:cs="Arial"/>
        </w:rPr>
      </w:pPr>
    </w:p>
    <w:p w14:paraId="68C072E0" w14:textId="3A03E04E" w:rsidR="00DB7003" w:rsidRDefault="00DB7003" w:rsidP="000526CF">
      <w:pPr>
        <w:pStyle w:val="ListParagraph"/>
        <w:spacing w:after="0"/>
        <w:ind w:left="1434"/>
        <w:rPr>
          <w:rFonts w:cs="Arial"/>
        </w:rPr>
      </w:pPr>
    </w:p>
    <w:p w14:paraId="41C0DD83" w14:textId="1EFEC7E1" w:rsidR="00DB7003" w:rsidRDefault="00DB7003" w:rsidP="000526CF">
      <w:pPr>
        <w:pStyle w:val="ListParagraph"/>
        <w:spacing w:after="0"/>
        <w:ind w:left="1434"/>
        <w:rPr>
          <w:rFonts w:cs="Arial"/>
        </w:rPr>
      </w:pPr>
    </w:p>
    <w:p w14:paraId="2F46BBAF" w14:textId="479B0436" w:rsidR="00DB7003" w:rsidRDefault="00DB7003" w:rsidP="000526CF">
      <w:pPr>
        <w:pStyle w:val="ListParagraph"/>
        <w:spacing w:after="0"/>
        <w:ind w:left="1434"/>
        <w:rPr>
          <w:rFonts w:cs="Arial"/>
        </w:rPr>
      </w:pPr>
    </w:p>
    <w:p w14:paraId="20FD6B14" w14:textId="3501A17A" w:rsidR="00DB7003" w:rsidRDefault="00DB7003" w:rsidP="000526CF">
      <w:pPr>
        <w:pStyle w:val="ListParagraph"/>
        <w:spacing w:after="0"/>
        <w:ind w:left="1434"/>
        <w:rPr>
          <w:rFonts w:cs="Arial"/>
        </w:rPr>
      </w:pPr>
    </w:p>
    <w:p w14:paraId="14D6BF73" w14:textId="2A861FE3" w:rsidR="00C61830" w:rsidRDefault="00C61830" w:rsidP="00D40244">
      <w:pPr>
        <w:spacing w:after="0"/>
        <w:rPr>
          <w:rFonts w:cs="Arial"/>
        </w:rPr>
      </w:pPr>
    </w:p>
    <w:p w14:paraId="76821430" w14:textId="774D75A3" w:rsidR="00FC6443" w:rsidRDefault="00FC6443" w:rsidP="00D40244">
      <w:pPr>
        <w:spacing w:after="0"/>
        <w:rPr>
          <w:rFonts w:cs="Arial"/>
        </w:rPr>
      </w:pPr>
    </w:p>
    <w:p w14:paraId="71A6E652" w14:textId="2ADEDE96" w:rsidR="00FC6443" w:rsidRDefault="00FC6443" w:rsidP="00D40244">
      <w:pPr>
        <w:spacing w:after="0"/>
        <w:rPr>
          <w:rFonts w:cs="Arial"/>
        </w:rPr>
      </w:pPr>
    </w:p>
    <w:p w14:paraId="430DF1A4" w14:textId="08FBEF8E" w:rsidR="00FC6443" w:rsidRDefault="00FC6443" w:rsidP="00D40244">
      <w:pPr>
        <w:spacing w:after="0"/>
        <w:rPr>
          <w:rFonts w:cs="Arial"/>
        </w:rPr>
      </w:pPr>
    </w:p>
    <w:p w14:paraId="4421DF4C" w14:textId="62802FBD" w:rsidR="00FC6443" w:rsidRDefault="00FC6443" w:rsidP="00D40244">
      <w:pPr>
        <w:spacing w:after="0"/>
        <w:rPr>
          <w:rFonts w:cs="Arial"/>
        </w:rPr>
      </w:pPr>
    </w:p>
    <w:p w14:paraId="6AB44A49" w14:textId="2192D08D" w:rsidR="00FC6443" w:rsidRDefault="00FC6443" w:rsidP="00D40244">
      <w:pPr>
        <w:spacing w:after="0"/>
        <w:rPr>
          <w:rFonts w:cs="Arial"/>
        </w:rPr>
      </w:pPr>
    </w:p>
    <w:p w14:paraId="185778A2" w14:textId="6EBB964C" w:rsidR="00FC6443" w:rsidRDefault="00FC6443" w:rsidP="00D40244">
      <w:pPr>
        <w:spacing w:after="0"/>
        <w:rPr>
          <w:rFonts w:cs="Arial"/>
        </w:rPr>
      </w:pPr>
    </w:p>
    <w:p w14:paraId="2D81CB56" w14:textId="6762611B" w:rsidR="00FC6443" w:rsidRDefault="00FC6443" w:rsidP="00D40244">
      <w:pPr>
        <w:spacing w:after="0"/>
        <w:rPr>
          <w:rFonts w:cs="Arial"/>
        </w:rPr>
      </w:pPr>
    </w:p>
    <w:p w14:paraId="443431DC" w14:textId="216991BA" w:rsidR="00FC6443" w:rsidRDefault="00FC6443" w:rsidP="00D40244">
      <w:pPr>
        <w:spacing w:after="0"/>
        <w:rPr>
          <w:rFonts w:cs="Arial"/>
        </w:rPr>
      </w:pPr>
    </w:p>
    <w:p w14:paraId="6A084703" w14:textId="2B38BD35" w:rsidR="00FC6443" w:rsidRDefault="00FC6443" w:rsidP="00D40244">
      <w:pPr>
        <w:spacing w:after="0"/>
        <w:rPr>
          <w:rFonts w:cs="Arial"/>
        </w:rPr>
      </w:pPr>
    </w:p>
    <w:p w14:paraId="3ABF66C2" w14:textId="5BD5E569" w:rsidR="00673C0A" w:rsidRDefault="00673C0A" w:rsidP="00D40244">
      <w:pPr>
        <w:spacing w:after="0"/>
        <w:rPr>
          <w:rFonts w:cs="Arial"/>
        </w:rPr>
      </w:pPr>
    </w:p>
    <w:p w14:paraId="37CECB2E" w14:textId="13557BFB" w:rsidR="00673C0A" w:rsidRDefault="00673C0A" w:rsidP="00D40244">
      <w:pPr>
        <w:spacing w:after="0"/>
        <w:rPr>
          <w:rFonts w:cs="Arial"/>
        </w:rPr>
      </w:pPr>
    </w:p>
    <w:p w14:paraId="5181FE9C" w14:textId="031189E2" w:rsidR="00673C0A" w:rsidRDefault="00673C0A" w:rsidP="00D40244">
      <w:pPr>
        <w:spacing w:after="0"/>
        <w:rPr>
          <w:rFonts w:cs="Arial"/>
        </w:rPr>
      </w:pPr>
    </w:p>
    <w:p w14:paraId="42202A21" w14:textId="77777777" w:rsidR="00FC6443" w:rsidRPr="00D40244" w:rsidRDefault="00FC6443" w:rsidP="00D40244">
      <w:pPr>
        <w:spacing w:after="0"/>
        <w:rPr>
          <w:rFonts w:cs="Arial"/>
        </w:rPr>
      </w:pPr>
    </w:p>
    <w:p w14:paraId="0D78AE23" w14:textId="2B7B43A1" w:rsidR="006D0ABD" w:rsidRPr="006D0ABD" w:rsidRDefault="004B30C0" w:rsidP="283AF5D6">
      <w:pPr>
        <w:pStyle w:val="Heading1"/>
        <w:spacing w:after="160"/>
        <w:rPr>
          <w:rFonts w:ascii="Arial" w:hAnsi="Arial" w:cs="Arial"/>
          <w:b/>
          <w:bCs/>
          <w:color w:val="auto"/>
          <w:sz w:val="28"/>
          <w:szCs w:val="28"/>
        </w:rPr>
      </w:pPr>
      <w:bookmarkStart w:id="6" w:name="_Section_6:_Consent"/>
      <w:bookmarkEnd w:id="6"/>
      <w:r w:rsidRPr="283AF5D6">
        <w:rPr>
          <w:rFonts w:ascii="Arial" w:hAnsi="Arial" w:cs="Arial"/>
          <w:b/>
          <w:bCs/>
          <w:color w:val="auto"/>
          <w:sz w:val="28"/>
          <w:szCs w:val="28"/>
        </w:rPr>
        <w:lastRenderedPageBreak/>
        <w:t>Section 6: Consent and capacity</w:t>
      </w:r>
    </w:p>
    <w:p w14:paraId="410D5A95" w14:textId="5D8810C8" w:rsidR="00850DA5" w:rsidRDefault="00F43E06" w:rsidP="00B97093">
      <w:pPr>
        <w:spacing w:after="160"/>
        <w:rPr>
          <w:rFonts w:cs="Arial"/>
        </w:rPr>
      </w:pPr>
      <w:r w:rsidRPr="1BEA4369">
        <w:rPr>
          <w:rFonts w:cs="Arial"/>
        </w:rPr>
        <w:t xml:space="preserve">There are differences of opinion as to the </w:t>
      </w:r>
      <w:r w:rsidR="13BFE80B" w:rsidRPr="1BEA4369">
        <w:rPr>
          <w:rFonts w:cs="Arial"/>
        </w:rPr>
        <w:t xml:space="preserve">capacity </w:t>
      </w:r>
      <w:r w:rsidRPr="1BEA4369">
        <w:rPr>
          <w:rFonts w:cs="Arial"/>
        </w:rPr>
        <w:t xml:space="preserve">of children and adolescents to consent to medical interventions in relation to gender identity. </w:t>
      </w:r>
      <w:r w:rsidR="00A32296" w:rsidRPr="1BEA4369">
        <w:rPr>
          <w:rFonts w:cs="Arial"/>
        </w:rPr>
        <w:t>Some believe that</w:t>
      </w:r>
      <w:r w:rsidR="009975DE" w:rsidRPr="1BEA4369">
        <w:rPr>
          <w:rFonts w:cs="Arial"/>
        </w:rPr>
        <w:t xml:space="preserve"> decisions about c</w:t>
      </w:r>
      <w:r w:rsidR="002C68C7" w:rsidRPr="1BEA4369">
        <w:rPr>
          <w:rFonts w:cs="Arial"/>
        </w:rPr>
        <w:t>apacity</w:t>
      </w:r>
      <w:r w:rsidR="009975DE" w:rsidRPr="1BEA4369">
        <w:rPr>
          <w:rFonts w:cs="Arial"/>
        </w:rPr>
        <w:t xml:space="preserve"> should be made on an individual basis, and that</w:t>
      </w:r>
      <w:r w:rsidR="00850DA5" w:rsidRPr="1BEA4369">
        <w:rPr>
          <w:rFonts w:cs="Arial"/>
        </w:rPr>
        <w:t xml:space="preserve"> with appropriate consultation, discussion, and the provision of detailed and age-appropriate information, many young people reach the standard of competence</w:t>
      </w:r>
      <w:r w:rsidR="0FDD56D1" w:rsidRPr="1BEA4369">
        <w:rPr>
          <w:rFonts w:cs="Arial"/>
        </w:rPr>
        <w:t xml:space="preserve"> to make such decisions</w:t>
      </w:r>
      <w:r w:rsidR="00850DA5" w:rsidRPr="1BEA4369">
        <w:rPr>
          <w:rFonts w:cs="Arial"/>
        </w:rPr>
        <w:t xml:space="preserve">. They may hold that there is no reason for treating this decision differently from other types of medical treatment </w:t>
      </w:r>
      <w:r w:rsidR="3DC6D9AA" w:rsidRPr="1BEA4369">
        <w:rPr>
          <w:rFonts w:cs="Arial"/>
        </w:rPr>
        <w:t xml:space="preserve">to </w:t>
      </w:r>
      <w:r w:rsidR="00850DA5" w:rsidRPr="1BEA4369">
        <w:rPr>
          <w:rFonts w:cs="Arial"/>
        </w:rPr>
        <w:t xml:space="preserve">which - </w:t>
      </w:r>
      <w:r w:rsidR="007418A8" w:rsidRPr="1BEA4369">
        <w:rPr>
          <w:rFonts w:cs="Arial"/>
        </w:rPr>
        <w:t xml:space="preserve">if </w:t>
      </w:r>
      <w:r w:rsidR="00850DA5" w:rsidRPr="1BEA4369">
        <w:rPr>
          <w:rFonts w:cs="Arial"/>
        </w:rPr>
        <w:t xml:space="preserve">found to have capacity - young people can consent themselves. </w:t>
      </w:r>
    </w:p>
    <w:p w14:paraId="18079024" w14:textId="4068FC3A" w:rsidR="009975DE" w:rsidRDefault="009975DE" w:rsidP="00B97093">
      <w:pPr>
        <w:spacing w:after="160"/>
        <w:rPr>
          <w:rFonts w:cs="Arial"/>
        </w:rPr>
      </w:pPr>
      <w:r w:rsidRPr="1BEA4369">
        <w:rPr>
          <w:rFonts w:cs="Arial"/>
        </w:rPr>
        <w:t>Others express doubts about whether children and adolescents have reached an appropriate state of cognitive development and emotional maturity to be able to make this sort of decision. They emphasise the uncertainties surrounding the long-term effects of</w:t>
      </w:r>
      <w:r w:rsidR="002C68C7" w:rsidRPr="1BEA4369">
        <w:rPr>
          <w:rFonts w:cs="Arial"/>
        </w:rPr>
        <w:t xml:space="preserve"> </w:t>
      </w:r>
      <w:r w:rsidR="00D40244">
        <w:rPr>
          <w:rFonts w:cs="Arial"/>
        </w:rPr>
        <w:t>medical</w:t>
      </w:r>
      <w:r w:rsidR="64902C24" w:rsidRPr="1BEA4369">
        <w:rPr>
          <w:rFonts w:cs="Arial"/>
        </w:rPr>
        <w:t xml:space="preserve"> </w:t>
      </w:r>
      <w:r w:rsidR="002C68C7" w:rsidRPr="1BEA4369">
        <w:rPr>
          <w:rFonts w:cs="Arial"/>
        </w:rPr>
        <w:t>treatment</w:t>
      </w:r>
      <w:r w:rsidR="06FF2AC5" w:rsidRPr="1BEA4369">
        <w:rPr>
          <w:rFonts w:cs="Arial"/>
        </w:rPr>
        <w:t xml:space="preserve"> for gender identity</w:t>
      </w:r>
      <w:r w:rsidR="002C68C7" w:rsidRPr="1BEA4369">
        <w:rPr>
          <w:rFonts w:cs="Arial"/>
        </w:rPr>
        <w:t>; the (in)ability of young people to properly understand how treatment will affect future decisions and desires; and the uniqueness of treatment for gender identity as lifelong and life-changing</w:t>
      </w:r>
      <w:r w:rsidR="00F05B6B" w:rsidRPr="1BEA4369">
        <w:rPr>
          <w:rFonts w:cs="Arial"/>
        </w:rPr>
        <w:t xml:space="preserve"> in a way that few other treatments are. </w:t>
      </w:r>
      <w:r w:rsidR="002C68C7" w:rsidRPr="1BEA4369">
        <w:rPr>
          <w:rFonts w:cs="Arial"/>
        </w:rPr>
        <w:t xml:space="preserve">   </w:t>
      </w:r>
    </w:p>
    <w:p w14:paraId="13F75509" w14:textId="0C26C63C" w:rsidR="00C92385" w:rsidRDefault="00850DA5" w:rsidP="00B97093">
      <w:pPr>
        <w:spacing w:after="160"/>
        <w:rPr>
          <w:rFonts w:cs="Arial"/>
        </w:rPr>
      </w:pPr>
      <w:r w:rsidRPr="12886CA8">
        <w:rPr>
          <w:rFonts w:cs="Arial"/>
        </w:rPr>
        <w:t xml:space="preserve">There are </w:t>
      </w:r>
      <w:r w:rsidR="00E53283" w:rsidRPr="12886CA8">
        <w:rPr>
          <w:rFonts w:cs="Arial"/>
        </w:rPr>
        <w:t>differences of opinion too as to whether the consent of</w:t>
      </w:r>
      <w:r w:rsidR="00246468">
        <w:rPr>
          <w:rFonts w:cs="Arial"/>
        </w:rPr>
        <w:t xml:space="preserve"> a</w:t>
      </w:r>
      <w:r w:rsidR="00E53283" w:rsidRPr="12886CA8">
        <w:rPr>
          <w:rFonts w:cs="Arial"/>
        </w:rPr>
        <w:t xml:space="preserve"> young person alone should be sufficient, or whether there is a role for those with parental responsibility in addition to, or instead of, that young person’s consent. In the UK,</w:t>
      </w:r>
      <w:r w:rsidR="00962691" w:rsidRPr="12886CA8">
        <w:rPr>
          <w:rFonts w:cs="Arial"/>
        </w:rPr>
        <w:t xml:space="preserve"> a young person is deemed to have capacity if they are able to</w:t>
      </w:r>
      <w:r w:rsidR="00D2726D" w:rsidRPr="12886CA8">
        <w:rPr>
          <w:rFonts w:cs="Arial"/>
        </w:rPr>
        <w:t xml:space="preserve"> weigh the information required and arrive at a decision; understand the nature and purpose of the proposed intervention; understand the risks of any proposed intervention as well as any alternatives; and are free from undue pressure or influence. This is often referred to as </w:t>
      </w:r>
      <w:r w:rsidR="00E53283" w:rsidRPr="12886CA8">
        <w:rPr>
          <w:rFonts w:cs="Arial"/>
        </w:rPr>
        <w:t xml:space="preserve">the standard of </w:t>
      </w:r>
      <w:r w:rsidR="00246468">
        <w:rPr>
          <w:rFonts w:cs="Arial"/>
        </w:rPr>
        <w:t>‘</w:t>
      </w:r>
      <w:r w:rsidR="00E53283" w:rsidRPr="12886CA8">
        <w:rPr>
          <w:rFonts w:cs="Arial"/>
        </w:rPr>
        <w:t>Gillick competence</w:t>
      </w:r>
      <w:r w:rsidR="00246468">
        <w:rPr>
          <w:rFonts w:cs="Arial"/>
        </w:rPr>
        <w:t>’</w:t>
      </w:r>
      <w:r w:rsidR="7AA30C05" w:rsidRPr="12886CA8">
        <w:rPr>
          <w:rFonts w:cs="Arial"/>
        </w:rPr>
        <w:t>. If the young person is not deemed to have capacity,</w:t>
      </w:r>
      <w:r w:rsidR="00E53283" w:rsidRPr="12886CA8">
        <w:rPr>
          <w:rFonts w:cs="Arial"/>
        </w:rPr>
        <w:t xml:space="preserve"> the normal position would be that someone with </w:t>
      </w:r>
      <w:r w:rsidR="00C92385" w:rsidRPr="12886CA8">
        <w:rPr>
          <w:rFonts w:cs="Arial"/>
        </w:rPr>
        <w:t>parental responsibility must consent</w:t>
      </w:r>
      <w:r w:rsidR="43E29EBD" w:rsidRPr="12886CA8">
        <w:rPr>
          <w:rFonts w:cs="Arial"/>
        </w:rPr>
        <w:t xml:space="preserve"> to medical treatment</w:t>
      </w:r>
      <w:r w:rsidR="00C92385" w:rsidRPr="12886CA8">
        <w:rPr>
          <w:rFonts w:cs="Arial"/>
        </w:rPr>
        <w:t xml:space="preserve"> on their behalf. In the context of medical interventions in relation to gender identity</w:t>
      </w:r>
      <w:r w:rsidR="0084425F" w:rsidRPr="12886CA8">
        <w:rPr>
          <w:rFonts w:cs="Arial"/>
        </w:rPr>
        <w:t xml:space="preserve"> </w:t>
      </w:r>
      <w:r w:rsidR="00C92385" w:rsidRPr="12886CA8">
        <w:rPr>
          <w:rFonts w:cs="Arial"/>
        </w:rPr>
        <w:t>the policy of the Gender Identity Development Service</w:t>
      </w:r>
      <w:r w:rsidR="002D2DE9" w:rsidRPr="12886CA8">
        <w:rPr>
          <w:rFonts w:cs="Arial"/>
        </w:rPr>
        <w:t xml:space="preserve"> (GIDS) in England and Wales</w:t>
      </w:r>
      <w:r w:rsidR="00C92385" w:rsidRPr="12886CA8">
        <w:rPr>
          <w:rFonts w:cs="Arial"/>
        </w:rPr>
        <w:t xml:space="preserve"> has always been that it would be inappropriate to administer </w:t>
      </w:r>
      <w:r w:rsidR="4590EBDD" w:rsidRPr="12886CA8">
        <w:rPr>
          <w:rFonts w:cs="Arial"/>
        </w:rPr>
        <w:t xml:space="preserve">puberty </w:t>
      </w:r>
      <w:r w:rsidR="00C92385" w:rsidRPr="12886CA8">
        <w:rPr>
          <w:rFonts w:cs="Arial"/>
        </w:rPr>
        <w:t>blockers to any patient without their consent</w:t>
      </w:r>
      <w:r w:rsidR="00F05B6B" w:rsidRPr="12886CA8">
        <w:rPr>
          <w:rFonts w:cs="Arial"/>
        </w:rPr>
        <w:t xml:space="preserve"> and on the basis of parental consent alone.</w:t>
      </w:r>
    </w:p>
    <w:p w14:paraId="0205B6A7" w14:textId="0E327B14" w:rsidR="004F6CDE" w:rsidRDefault="00C92385" w:rsidP="004B30C0">
      <w:pPr>
        <w:spacing w:after="160"/>
        <w:rPr>
          <w:rFonts w:cs="Arial"/>
        </w:rPr>
      </w:pPr>
      <w:r w:rsidRPr="1BEA4369">
        <w:rPr>
          <w:rFonts w:cs="Arial"/>
        </w:rPr>
        <w:t>A recent High Court judgement</w:t>
      </w:r>
      <w:r w:rsidR="00E53283" w:rsidRPr="1BEA4369">
        <w:rPr>
          <w:rFonts w:cs="Arial"/>
        </w:rPr>
        <w:t xml:space="preserve"> in the UK</w:t>
      </w:r>
      <w:r w:rsidRPr="1BEA4369">
        <w:rPr>
          <w:rFonts w:cs="Arial"/>
        </w:rPr>
        <w:t xml:space="preserve"> held that </w:t>
      </w:r>
      <w:r w:rsidR="004B30C0" w:rsidRPr="1BEA4369">
        <w:rPr>
          <w:rFonts w:cs="Arial"/>
        </w:rPr>
        <w:t xml:space="preserve">there will be </w:t>
      </w:r>
      <w:r w:rsidR="00BD2E55">
        <w:rPr>
          <w:rFonts w:cs="Arial"/>
        </w:rPr>
        <w:t>‘</w:t>
      </w:r>
      <w:r w:rsidR="004B30C0" w:rsidRPr="1BEA4369">
        <w:rPr>
          <w:rFonts w:cs="Arial"/>
        </w:rPr>
        <w:t>enormous difficulties</w:t>
      </w:r>
      <w:r w:rsidR="00BD2E55">
        <w:rPr>
          <w:rFonts w:cs="Arial"/>
        </w:rPr>
        <w:t>’</w:t>
      </w:r>
      <w:r w:rsidR="004B30C0" w:rsidRPr="1BEA4369">
        <w:rPr>
          <w:rFonts w:cs="Arial"/>
        </w:rPr>
        <w:t xml:space="preserve"> in a child under 16 understanding and weighing the necessary information and being able to give consent</w:t>
      </w:r>
      <w:r w:rsidR="52883431" w:rsidRPr="1BEA4369">
        <w:rPr>
          <w:rFonts w:cs="Arial"/>
        </w:rPr>
        <w:t xml:space="preserve"> to puberty blockers or cross-sex hormones</w:t>
      </w:r>
      <w:r w:rsidR="004B30C0" w:rsidRPr="1BEA4369">
        <w:rPr>
          <w:rFonts w:cs="Arial"/>
        </w:rPr>
        <w:t>. The</w:t>
      </w:r>
      <w:r w:rsidR="00F57560" w:rsidRPr="1BEA4369">
        <w:rPr>
          <w:rFonts w:cs="Arial"/>
        </w:rPr>
        <w:t xml:space="preserve"> Court</w:t>
      </w:r>
      <w:r w:rsidR="004B30C0" w:rsidRPr="1BEA4369">
        <w:rPr>
          <w:rFonts w:cs="Arial"/>
        </w:rPr>
        <w:t xml:space="preserve"> concluded that it was </w:t>
      </w:r>
      <w:r w:rsidR="00BD2E55">
        <w:rPr>
          <w:rFonts w:cs="Arial"/>
        </w:rPr>
        <w:t>‘</w:t>
      </w:r>
      <w:r w:rsidR="004B30C0" w:rsidRPr="1BEA4369">
        <w:rPr>
          <w:rFonts w:cs="Arial"/>
        </w:rPr>
        <w:t>highly unlikely</w:t>
      </w:r>
      <w:r w:rsidR="00BD2E55">
        <w:rPr>
          <w:rFonts w:cs="Arial"/>
        </w:rPr>
        <w:t>’</w:t>
      </w:r>
      <w:r w:rsidR="004B30C0" w:rsidRPr="1BEA4369">
        <w:rPr>
          <w:rFonts w:cs="Arial"/>
        </w:rPr>
        <w:t xml:space="preserve"> that anyone aged 13 or under could be deemed competent to give consent</w:t>
      </w:r>
      <w:r w:rsidR="00F57560" w:rsidRPr="1BEA4369">
        <w:rPr>
          <w:rFonts w:cs="Arial"/>
        </w:rPr>
        <w:t xml:space="preserve"> </w:t>
      </w:r>
      <w:r w:rsidR="004B30C0" w:rsidRPr="1BEA4369">
        <w:rPr>
          <w:rFonts w:cs="Arial"/>
        </w:rPr>
        <w:t xml:space="preserve">and </w:t>
      </w:r>
      <w:r w:rsidR="00BD2E55">
        <w:rPr>
          <w:rFonts w:cs="Arial"/>
        </w:rPr>
        <w:t>‘</w:t>
      </w:r>
      <w:r w:rsidR="004B30C0" w:rsidRPr="1BEA4369">
        <w:rPr>
          <w:rFonts w:cs="Arial"/>
        </w:rPr>
        <w:t>doubtful</w:t>
      </w:r>
      <w:r w:rsidR="00BD2E55">
        <w:rPr>
          <w:rFonts w:cs="Arial"/>
        </w:rPr>
        <w:t>’</w:t>
      </w:r>
      <w:r w:rsidR="004B30C0" w:rsidRPr="1BEA4369">
        <w:rPr>
          <w:rFonts w:cs="Arial"/>
        </w:rPr>
        <w:t xml:space="preserve"> that anyone aged 14 or 15 could do so.</w:t>
      </w:r>
      <w:r w:rsidRPr="1BEA4369">
        <w:rPr>
          <w:rFonts w:cs="Arial"/>
        </w:rPr>
        <w:t xml:space="preserve"> Furthermore, </w:t>
      </w:r>
      <w:r w:rsidR="00D62567" w:rsidRPr="1BEA4369">
        <w:rPr>
          <w:rFonts w:cs="Arial"/>
        </w:rPr>
        <w:t xml:space="preserve">in respect of young people aged 16 and over, clinicians </w:t>
      </w:r>
      <w:r w:rsidR="00BD2E55">
        <w:rPr>
          <w:rFonts w:cs="Arial"/>
        </w:rPr>
        <w:t>‘</w:t>
      </w:r>
      <w:r w:rsidR="00D62567" w:rsidRPr="1BEA4369">
        <w:rPr>
          <w:rFonts w:cs="Arial"/>
        </w:rPr>
        <w:t>may well regard these</w:t>
      </w:r>
      <w:r w:rsidR="00BD2E55">
        <w:rPr>
          <w:rFonts w:cs="Arial"/>
        </w:rPr>
        <w:t>’</w:t>
      </w:r>
      <w:r w:rsidR="00D62567" w:rsidRPr="1BEA4369">
        <w:rPr>
          <w:rFonts w:cs="Arial"/>
        </w:rPr>
        <w:t xml:space="preserve"> as cases requiring consideration by the court. </w:t>
      </w:r>
      <w:r w:rsidR="004B30C0" w:rsidRPr="1BEA4369">
        <w:rPr>
          <w:rFonts w:cs="Arial"/>
        </w:rPr>
        <w:t>This decision is currently on appeal.</w:t>
      </w:r>
    </w:p>
    <w:p w14:paraId="3DD2D61C" w14:textId="77777777" w:rsidR="00577295" w:rsidRDefault="00577295" w:rsidP="004B30C0">
      <w:pPr>
        <w:spacing w:after="160"/>
        <w:rPr>
          <w:rFonts w:cs="Arial"/>
        </w:rPr>
      </w:pPr>
    </w:p>
    <w:p w14:paraId="2048435D" w14:textId="5C6CBFF8" w:rsidR="00DB7003" w:rsidRDefault="00DB7003" w:rsidP="00DB7003">
      <w:pPr>
        <w:pStyle w:val="ListParagraph"/>
        <w:numPr>
          <w:ilvl w:val="0"/>
          <w:numId w:val="5"/>
        </w:numPr>
        <w:spacing w:after="160"/>
        <w:rPr>
          <w:rFonts w:cs="Arial"/>
          <w:b/>
          <w:bCs/>
        </w:rPr>
      </w:pPr>
      <w:r w:rsidRPr="12886CA8">
        <w:rPr>
          <w:rFonts w:cs="Arial"/>
          <w:b/>
          <w:bCs/>
        </w:rPr>
        <w:lastRenderedPageBreak/>
        <w:t xml:space="preserve">Do you think that children and adolescents under the age of 16 </w:t>
      </w:r>
      <w:r w:rsidR="0084425F" w:rsidRPr="12886CA8">
        <w:rPr>
          <w:rFonts w:cs="Arial"/>
          <w:b/>
          <w:bCs/>
        </w:rPr>
        <w:t xml:space="preserve">have the capacity to consent </w:t>
      </w:r>
      <w:r w:rsidRPr="12886CA8">
        <w:rPr>
          <w:rFonts w:cs="Arial"/>
          <w:b/>
          <w:bCs/>
        </w:rPr>
        <w:t>to puberty blockers and cross-sex hormones?</w:t>
      </w:r>
      <w:r w:rsidR="00D62567" w:rsidRPr="12886CA8">
        <w:rPr>
          <w:rFonts w:cs="Arial"/>
          <w:b/>
          <w:bCs/>
        </w:rPr>
        <w:t xml:space="preserve"> </w:t>
      </w:r>
      <w:r w:rsidR="00F05B6B" w:rsidRPr="12886CA8">
        <w:rPr>
          <w:rFonts w:cs="Arial"/>
          <w:b/>
          <w:bCs/>
        </w:rPr>
        <w:t xml:space="preserve">Please expand on your answer. </w:t>
      </w:r>
    </w:p>
    <w:p w14:paraId="4060E8AF" w14:textId="60CB593D" w:rsidR="00DB7003" w:rsidRDefault="00DB7003" w:rsidP="00DB7003">
      <w:pPr>
        <w:pStyle w:val="ListParagraph"/>
        <w:spacing w:after="160"/>
        <w:rPr>
          <w:rFonts w:cs="Arial"/>
          <w:b/>
          <w:bCs/>
        </w:rPr>
      </w:pPr>
    </w:p>
    <w:tbl>
      <w:tblPr>
        <w:tblStyle w:val="TableGrid"/>
        <w:tblW w:w="0" w:type="auto"/>
        <w:tblInd w:w="720" w:type="dxa"/>
        <w:tblLook w:val="04A0" w:firstRow="1" w:lastRow="0" w:firstColumn="1" w:lastColumn="0" w:noHBand="0" w:noVBand="1"/>
      </w:tblPr>
      <w:tblGrid>
        <w:gridCol w:w="8296"/>
      </w:tblGrid>
      <w:tr w:rsidR="00DB7003" w14:paraId="3E64A9F4" w14:textId="77777777" w:rsidTr="00DB7003">
        <w:tc>
          <w:tcPr>
            <w:tcW w:w="9016" w:type="dxa"/>
          </w:tcPr>
          <w:p w14:paraId="33F05223" w14:textId="77777777" w:rsidR="00DB7003" w:rsidRDefault="00DB7003" w:rsidP="00DB7003">
            <w:pPr>
              <w:pStyle w:val="ListParagraph"/>
              <w:spacing w:after="160"/>
              <w:ind w:left="0"/>
              <w:rPr>
                <w:rFonts w:cs="Arial"/>
              </w:rPr>
            </w:pPr>
          </w:p>
          <w:p w14:paraId="7FEFD0BE" w14:textId="77777777" w:rsidR="00DB7003" w:rsidRDefault="00DB7003" w:rsidP="00DB7003">
            <w:pPr>
              <w:pStyle w:val="ListParagraph"/>
              <w:spacing w:after="160"/>
              <w:ind w:left="0"/>
              <w:rPr>
                <w:rFonts w:cs="Arial"/>
              </w:rPr>
            </w:pPr>
          </w:p>
          <w:p w14:paraId="4DFA2A38" w14:textId="77777777" w:rsidR="00DB7003" w:rsidRDefault="00DB7003" w:rsidP="00DB7003">
            <w:pPr>
              <w:pStyle w:val="ListParagraph"/>
              <w:spacing w:after="160"/>
              <w:ind w:left="0"/>
              <w:rPr>
                <w:rFonts w:cs="Arial"/>
              </w:rPr>
            </w:pPr>
          </w:p>
          <w:p w14:paraId="3A0DCC55" w14:textId="2E27F54C" w:rsidR="00DB7003" w:rsidRDefault="00DB7003" w:rsidP="00DB7003">
            <w:pPr>
              <w:pStyle w:val="ListParagraph"/>
              <w:spacing w:after="160"/>
              <w:ind w:left="0"/>
              <w:rPr>
                <w:rFonts w:cs="Arial"/>
              </w:rPr>
            </w:pPr>
          </w:p>
        </w:tc>
      </w:tr>
    </w:tbl>
    <w:p w14:paraId="742B66ED" w14:textId="77777777" w:rsidR="00DB7003" w:rsidRPr="00DB7003" w:rsidRDefault="00DB7003" w:rsidP="00DB7003">
      <w:pPr>
        <w:pStyle w:val="ListParagraph"/>
        <w:spacing w:after="160"/>
        <w:rPr>
          <w:rFonts w:cs="Arial"/>
        </w:rPr>
      </w:pPr>
    </w:p>
    <w:p w14:paraId="696E97E9" w14:textId="230BD30D" w:rsidR="00520C04" w:rsidRPr="00E53283" w:rsidRDefault="00520C04" w:rsidP="00E53283">
      <w:pPr>
        <w:pStyle w:val="ListParagraph"/>
        <w:numPr>
          <w:ilvl w:val="0"/>
          <w:numId w:val="5"/>
        </w:numPr>
        <w:spacing w:before="240" w:after="160" w:line="259" w:lineRule="auto"/>
        <w:rPr>
          <w:rFonts w:cs="Arial"/>
        </w:rPr>
      </w:pPr>
      <w:r w:rsidRPr="739CBA11">
        <w:rPr>
          <w:rFonts w:cs="Arial"/>
          <w:b/>
          <w:bCs/>
        </w:rPr>
        <w:t>Who should have the authority to consent to and make decisions about medical intervention</w:t>
      </w:r>
      <w:r w:rsidR="13B061F5" w:rsidRPr="739CBA11">
        <w:rPr>
          <w:rFonts w:cs="Arial"/>
          <w:b/>
          <w:bCs/>
        </w:rPr>
        <w:t xml:space="preserve"> in relation to gender identity</w:t>
      </w:r>
      <w:r w:rsidRPr="739CBA11">
        <w:rPr>
          <w:rFonts w:cs="Arial"/>
          <w:b/>
          <w:bCs/>
        </w:rPr>
        <w:t>? (</w:t>
      </w:r>
      <w:r w:rsidR="00E53283" w:rsidRPr="739CBA11">
        <w:rPr>
          <w:rFonts w:cs="Arial"/>
          <w:b/>
          <w:bCs/>
        </w:rPr>
        <w:t>E.g</w:t>
      </w:r>
      <w:r w:rsidRPr="739CBA11">
        <w:rPr>
          <w:rFonts w:cs="Arial"/>
          <w:b/>
          <w:bCs/>
        </w:rPr>
        <w:t xml:space="preserve">. </w:t>
      </w:r>
      <w:r w:rsidR="00E53283" w:rsidRPr="739CBA11">
        <w:rPr>
          <w:rFonts w:cs="Arial"/>
          <w:b/>
          <w:bCs/>
        </w:rPr>
        <w:t xml:space="preserve">a competent young person alone; a competent young person </w:t>
      </w:r>
      <w:r w:rsidR="00E53283" w:rsidRPr="739CBA11">
        <w:rPr>
          <w:rFonts w:cs="Arial"/>
          <w:b/>
          <w:bCs/>
          <w:i/>
          <w:iCs/>
        </w:rPr>
        <w:t>and</w:t>
      </w:r>
      <w:r w:rsidR="00E53283" w:rsidRPr="739CBA11">
        <w:rPr>
          <w:rFonts w:cs="Arial"/>
          <w:b/>
          <w:bCs/>
        </w:rPr>
        <w:t xml:space="preserve"> those with parental responsibility; those with parental responsibility should be able to consent on behalf a young person who lacks capacity</w:t>
      </w:r>
      <w:r w:rsidR="00577295">
        <w:rPr>
          <w:rFonts w:cs="Arial"/>
          <w:b/>
          <w:bCs/>
        </w:rPr>
        <w:t>; a court</w:t>
      </w:r>
      <w:r w:rsidR="00E53283" w:rsidRPr="739CBA11">
        <w:rPr>
          <w:rFonts w:cs="Arial"/>
          <w:b/>
          <w:bCs/>
        </w:rPr>
        <w:t xml:space="preserve">)? </w:t>
      </w:r>
    </w:p>
    <w:p w14:paraId="2E9E904A" w14:textId="14122FDE" w:rsidR="00FC1A9B" w:rsidRDefault="00FC1A9B" w:rsidP="00FC1A9B">
      <w:pPr>
        <w:pStyle w:val="ListParagraph"/>
        <w:spacing w:before="240" w:after="160" w:line="259" w:lineRule="auto"/>
        <w:rPr>
          <w:rFonts w:cs="Arial"/>
          <w:b/>
          <w:bCs/>
        </w:rPr>
      </w:pPr>
    </w:p>
    <w:tbl>
      <w:tblPr>
        <w:tblStyle w:val="TableGrid"/>
        <w:tblW w:w="0" w:type="auto"/>
        <w:tblInd w:w="720" w:type="dxa"/>
        <w:tblLook w:val="04A0" w:firstRow="1" w:lastRow="0" w:firstColumn="1" w:lastColumn="0" w:noHBand="0" w:noVBand="1"/>
      </w:tblPr>
      <w:tblGrid>
        <w:gridCol w:w="8296"/>
      </w:tblGrid>
      <w:tr w:rsidR="00FC1A9B" w14:paraId="5AE975DA" w14:textId="77777777" w:rsidTr="00FC1A9B">
        <w:tc>
          <w:tcPr>
            <w:tcW w:w="9016" w:type="dxa"/>
          </w:tcPr>
          <w:p w14:paraId="4584879D" w14:textId="77777777" w:rsidR="00FC1A9B" w:rsidRDefault="00FC1A9B" w:rsidP="00FC1A9B">
            <w:pPr>
              <w:pStyle w:val="ListParagraph"/>
              <w:spacing w:before="240" w:after="160" w:line="259" w:lineRule="auto"/>
              <w:ind w:left="0"/>
              <w:rPr>
                <w:rFonts w:cs="Arial"/>
                <w:b/>
                <w:bCs/>
              </w:rPr>
            </w:pPr>
          </w:p>
          <w:p w14:paraId="01085CF3" w14:textId="175B2EAE" w:rsidR="00FC1A9B" w:rsidRDefault="00FC1A9B" w:rsidP="00FC1A9B">
            <w:pPr>
              <w:pStyle w:val="ListParagraph"/>
              <w:spacing w:before="240" w:after="160" w:line="259" w:lineRule="auto"/>
              <w:ind w:left="0"/>
              <w:rPr>
                <w:rFonts w:cs="Arial"/>
                <w:b/>
                <w:bCs/>
              </w:rPr>
            </w:pPr>
          </w:p>
          <w:p w14:paraId="201A8F1F" w14:textId="77777777" w:rsidR="00F05B6B" w:rsidRDefault="00F05B6B" w:rsidP="00FC1A9B">
            <w:pPr>
              <w:pStyle w:val="ListParagraph"/>
              <w:spacing w:before="240" w:after="160" w:line="259" w:lineRule="auto"/>
              <w:ind w:left="0"/>
              <w:rPr>
                <w:rFonts w:cs="Arial"/>
                <w:b/>
                <w:bCs/>
              </w:rPr>
            </w:pPr>
          </w:p>
          <w:p w14:paraId="67B42CCC" w14:textId="77777777" w:rsidR="00FC1A9B" w:rsidRDefault="00FC1A9B" w:rsidP="00FC1A9B">
            <w:pPr>
              <w:pStyle w:val="ListParagraph"/>
              <w:spacing w:before="240" w:after="160" w:line="259" w:lineRule="auto"/>
              <w:ind w:left="0"/>
              <w:rPr>
                <w:rFonts w:cs="Arial"/>
                <w:b/>
                <w:bCs/>
              </w:rPr>
            </w:pPr>
          </w:p>
          <w:p w14:paraId="094298B8" w14:textId="38E2967E" w:rsidR="00FC1A9B" w:rsidRDefault="00FC1A9B" w:rsidP="00FC1A9B">
            <w:pPr>
              <w:pStyle w:val="ListParagraph"/>
              <w:spacing w:before="240" w:after="160" w:line="259" w:lineRule="auto"/>
              <w:ind w:left="0"/>
              <w:rPr>
                <w:rFonts w:cs="Arial"/>
                <w:b/>
                <w:bCs/>
              </w:rPr>
            </w:pPr>
          </w:p>
        </w:tc>
      </w:tr>
    </w:tbl>
    <w:p w14:paraId="7ECC5875" w14:textId="5EC24B75" w:rsidR="00EF73F9" w:rsidRPr="003D1775" w:rsidRDefault="00EF73F9" w:rsidP="00EF73F9">
      <w:pPr>
        <w:pStyle w:val="ListParagraph"/>
        <w:numPr>
          <w:ilvl w:val="0"/>
          <w:numId w:val="5"/>
        </w:numPr>
        <w:spacing w:before="240" w:after="160" w:line="259" w:lineRule="auto"/>
        <w:rPr>
          <w:rFonts w:cs="Arial"/>
          <w:b/>
          <w:bCs/>
        </w:rPr>
      </w:pPr>
      <w:r w:rsidRPr="003D1775">
        <w:rPr>
          <w:rFonts w:cs="Arial"/>
          <w:b/>
          <w:bCs/>
        </w:rPr>
        <w:t xml:space="preserve">Is there </w:t>
      </w:r>
      <w:r w:rsidR="003D1775" w:rsidRPr="003D1775">
        <w:rPr>
          <w:rFonts w:cs="Arial"/>
          <w:b/>
          <w:bCs/>
        </w:rPr>
        <w:t>anything</w:t>
      </w:r>
      <w:r w:rsidRPr="003D1775">
        <w:rPr>
          <w:rFonts w:cs="Arial"/>
          <w:b/>
          <w:bCs/>
        </w:rPr>
        <w:t xml:space="preserve"> distinctive about the use of puberty suppressants and cross-sex hormones such that they warrant a different standard of consent compared to other paediatric medical </w:t>
      </w:r>
      <w:r w:rsidR="00741BA9">
        <w:rPr>
          <w:rFonts w:cs="Arial"/>
          <w:b/>
          <w:bCs/>
        </w:rPr>
        <w:t>decisions?</w:t>
      </w:r>
    </w:p>
    <w:p w14:paraId="071EEC0E" w14:textId="48527B86" w:rsidR="00EF73F9" w:rsidRDefault="00EF73F9" w:rsidP="00EF73F9">
      <w:pPr>
        <w:pStyle w:val="ListParagraph"/>
        <w:spacing w:before="240" w:after="160" w:line="259" w:lineRule="auto"/>
        <w:rPr>
          <w:rFonts w:cs="Arial"/>
          <w:b/>
          <w:bCs/>
        </w:rPr>
      </w:pPr>
    </w:p>
    <w:tbl>
      <w:tblPr>
        <w:tblStyle w:val="TableGrid"/>
        <w:tblW w:w="0" w:type="auto"/>
        <w:tblInd w:w="720" w:type="dxa"/>
        <w:tblLook w:val="04A0" w:firstRow="1" w:lastRow="0" w:firstColumn="1" w:lastColumn="0" w:noHBand="0" w:noVBand="1"/>
      </w:tblPr>
      <w:tblGrid>
        <w:gridCol w:w="8296"/>
      </w:tblGrid>
      <w:tr w:rsidR="00EF73F9" w14:paraId="64EBD7BE" w14:textId="77777777" w:rsidTr="00EF73F9">
        <w:tc>
          <w:tcPr>
            <w:tcW w:w="9016" w:type="dxa"/>
          </w:tcPr>
          <w:p w14:paraId="60999991" w14:textId="77777777" w:rsidR="00EF73F9" w:rsidRDefault="00EF73F9" w:rsidP="00EF73F9">
            <w:pPr>
              <w:pStyle w:val="ListParagraph"/>
              <w:spacing w:before="240" w:after="160" w:line="259" w:lineRule="auto"/>
              <w:ind w:left="0"/>
              <w:rPr>
                <w:rFonts w:cs="Arial"/>
                <w:b/>
                <w:bCs/>
              </w:rPr>
            </w:pPr>
          </w:p>
          <w:p w14:paraId="7F64510B" w14:textId="77777777" w:rsidR="00EF73F9" w:rsidRDefault="00EF73F9" w:rsidP="00EF73F9">
            <w:pPr>
              <w:pStyle w:val="ListParagraph"/>
              <w:spacing w:before="240" w:after="160" w:line="259" w:lineRule="auto"/>
              <w:ind w:left="0"/>
              <w:rPr>
                <w:rFonts w:cs="Arial"/>
                <w:b/>
                <w:bCs/>
              </w:rPr>
            </w:pPr>
          </w:p>
          <w:p w14:paraId="1EF1F06B" w14:textId="42A0EEF8" w:rsidR="00EF73F9" w:rsidRDefault="00EF73F9" w:rsidP="00EF73F9">
            <w:pPr>
              <w:pStyle w:val="ListParagraph"/>
              <w:spacing w:before="240" w:after="160" w:line="259" w:lineRule="auto"/>
              <w:ind w:left="0"/>
              <w:rPr>
                <w:rFonts w:cs="Arial"/>
                <w:b/>
                <w:bCs/>
              </w:rPr>
            </w:pPr>
          </w:p>
          <w:p w14:paraId="32FC7F7B" w14:textId="77777777" w:rsidR="00EF73F9" w:rsidRDefault="00EF73F9" w:rsidP="00EF73F9">
            <w:pPr>
              <w:pStyle w:val="ListParagraph"/>
              <w:spacing w:before="240" w:after="160" w:line="259" w:lineRule="auto"/>
              <w:ind w:left="0"/>
              <w:rPr>
                <w:rFonts w:cs="Arial"/>
                <w:b/>
                <w:bCs/>
              </w:rPr>
            </w:pPr>
          </w:p>
          <w:p w14:paraId="11FAFDEB" w14:textId="4686081C" w:rsidR="00EF73F9" w:rsidRDefault="00EF73F9" w:rsidP="00EF73F9">
            <w:pPr>
              <w:pStyle w:val="ListParagraph"/>
              <w:spacing w:before="240" w:after="160" w:line="259" w:lineRule="auto"/>
              <w:ind w:left="0"/>
              <w:rPr>
                <w:rFonts w:cs="Arial"/>
                <w:b/>
                <w:bCs/>
              </w:rPr>
            </w:pPr>
          </w:p>
        </w:tc>
      </w:tr>
    </w:tbl>
    <w:p w14:paraId="1F59A47D" w14:textId="77777777" w:rsidR="00EF73F9" w:rsidRPr="00EF73F9" w:rsidRDefault="00EF73F9" w:rsidP="00EF73F9">
      <w:pPr>
        <w:pStyle w:val="ListParagraph"/>
        <w:spacing w:before="240" w:after="160" w:line="259" w:lineRule="auto"/>
        <w:rPr>
          <w:rFonts w:cs="Arial"/>
          <w:b/>
          <w:bCs/>
        </w:rPr>
      </w:pPr>
    </w:p>
    <w:p w14:paraId="5C0AC9F2" w14:textId="77777777" w:rsidR="004F6CDE" w:rsidRDefault="004F6CDE" w:rsidP="004F6CDE">
      <w:pPr>
        <w:pStyle w:val="CommentText"/>
      </w:pPr>
    </w:p>
    <w:p w14:paraId="11F90333" w14:textId="18FC8137" w:rsidR="00D62567" w:rsidRDefault="00D62567" w:rsidP="004B30C0">
      <w:pPr>
        <w:spacing w:before="240"/>
        <w:rPr>
          <w:rFonts w:cs="Arial"/>
          <w:b/>
          <w:bCs/>
        </w:rPr>
      </w:pPr>
    </w:p>
    <w:p w14:paraId="29F5CB9C" w14:textId="714BFD28" w:rsidR="00D62567" w:rsidRDefault="00D62567" w:rsidP="004B30C0">
      <w:pPr>
        <w:spacing w:before="240"/>
        <w:rPr>
          <w:rFonts w:cs="Arial"/>
          <w:b/>
          <w:bCs/>
        </w:rPr>
      </w:pPr>
    </w:p>
    <w:p w14:paraId="35174FE5" w14:textId="5A60C42E" w:rsidR="00D62567" w:rsidRDefault="00D62567" w:rsidP="004B30C0">
      <w:pPr>
        <w:spacing w:before="240"/>
        <w:rPr>
          <w:rFonts w:cs="Arial"/>
          <w:b/>
          <w:bCs/>
        </w:rPr>
      </w:pPr>
    </w:p>
    <w:p w14:paraId="4D52F732" w14:textId="194A007A" w:rsidR="00D62567" w:rsidRDefault="00D62567" w:rsidP="004B30C0">
      <w:pPr>
        <w:spacing w:before="240"/>
        <w:rPr>
          <w:rFonts w:cs="Arial"/>
          <w:b/>
          <w:bCs/>
        </w:rPr>
      </w:pPr>
    </w:p>
    <w:p w14:paraId="6E03B758" w14:textId="77777777" w:rsidR="00FC1A9B" w:rsidRPr="001C6759" w:rsidRDefault="00FC1A9B" w:rsidP="004B30C0">
      <w:pPr>
        <w:spacing w:before="240"/>
        <w:rPr>
          <w:rFonts w:cs="Arial"/>
          <w:b/>
          <w:bCs/>
        </w:rPr>
      </w:pPr>
    </w:p>
    <w:p w14:paraId="4CEE8372" w14:textId="53072428" w:rsidR="004B30C0" w:rsidRDefault="004B30C0" w:rsidP="004B30C0">
      <w:pPr>
        <w:pStyle w:val="Heading1"/>
        <w:rPr>
          <w:rFonts w:ascii="Arial" w:hAnsi="Arial" w:cs="Arial"/>
          <w:b/>
          <w:color w:val="auto"/>
          <w:sz w:val="28"/>
          <w:szCs w:val="28"/>
        </w:rPr>
      </w:pPr>
      <w:bookmarkStart w:id="7" w:name="_Section_7:_Other"/>
      <w:bookmarkEnd w:id="7"/>
      <w:r w:rsidRPr="004B30C0">
        <w:rPr>
          <w:rFonts w:ascii="Arial" w:hAnsi="Arial" w:cs="Arial"/>
          <w:b/>
          <w:color w:val="auto"/>
          <w:sz w:val="28"/>
          <w:szCs w:val="28"/>
        </w:rPr>
        <w:lastRenderedPageBreak/>
        <w:t>Section 7: Other</w:t>
      </w:r>
    </w:p>
    <w:p w14:paraId="74EE33BC" w14:textId="7E4D921E" w:rsidR="00DB7003" w:rsidRPr="005C3AE3" w:rsidRDefault="00DB7003" w:rsidP="00DB7003">
      <w:pPr>
        <w:spacing w:before="240"/>
      </w:pPr>
      <w:r>
        <w:t xml:space="preserve">Please use this section to share any other thoughts and comments which you have not been able to </w:t>
      </w:r>
      <w:r w:rsidR="467D9A85">
        <w:t xml:space="preserve">make </w:t>
      </w:r>
      <w:r w:rsidR="005C3AE3">
        <w:t xml:space="preserve">in response to earlier questions. </w:t>
      </w:r>
      <w:r>
        <w:t xml:space="preserve"> </w:t>
      </w:r>
    </w:p>
    <w:p w14:paraId="459E7B19" w14:textId="39B9C164" w:rsidR="004176C6" w:rsidRPr="004176C6" w:rsidRDefault="004176C6" w:rsidP="00DB7003">
      <w:pPr>
        <w:spacing w:before="240"/>
      </w:pPr>
      <w:r>
        <w:t>Finally, w</w:t>
      </w:r>
      <w:r w:rsidR="00DB7003">
        <w:t xml:space="preserve">e are also interested in understanding people’s views </w:t>
      </w:r>
      <w:r w:rsidR="005C3AE3">
        <w:t>and experiences of how</w:t>
      </w:r>
      <w:r>
        <w:t xml:space="preserve"> this topic is debated and discussed more broadly. Many people have highlighted how polarised and hostile the debate </w:t>
      </w:r>
      <w:r w:rsidR="50B3CD9C">
        <w:t xml:space="preserve">around issues of gender identity and trans rights </w:t>
      </w:r>
      <w:r>
        <w:t>has become, and</w:t>
      </w:r>
      <w:r w:rsidR="0075594B">
        <w:t xml:space="preserve"> noted that this </w:t>
      </w:r>
      <w:r w:rsidR="0003743D">
        <w:t>may</w:t>
      </w:r>
      <w:r w:rsidR="0075594B">
        <w:t xml:space="preserve"> inhibit open discussion about some of the clinical, legal and ethical complexities of this issue. </w:t>
      </w:r>
      <w:r>
        <w:t xml:space="preserve"> </w:t>
      </w:r>
    </w:p>
    <w:p w14:paraId="75357A7D" w14:textId="04003C63" w:rsidR="004B30C0" w:rsidRPr="00DB7003" w:rsidRDefault="004B30C0" w:rsidP="00DB7003">
      <w:pPr>
        <w:pStyle w:val="ListParagraph"/>
        <w:numPr>
          <w:ilvl w:val="0"/>
          <w:numId w:val="20"/>
        </w:numPr>
        <w:spacing w:before="240" w:after="160" w:line="259" w:lineRule="auto"/>
        <w:rPr>
          <w:rFonts w:cs="Arial"/>
          <w:b/>
          <w:bCs/>
        </w:rPr>
      </w:pPr>
      <w:r w:rsidRPr="00DB7003">
        <w:rPr>
          <w:rFonts w:cs="Arial"/>
          <w:b/>
          <w:bCs/>
        </w:rPr>
        <w:t>Are there any other ethical issues which arise in the context of the care and treatment of children and young people in relation to their gender identity that you would like to draw to our attention?</w:t>
      </w:r>
    </w:p>
    <w:p w14:paraId="1FA8F197" w14:textId="77777777" w:rsidR="004B30C0" w:rsidRPr="00CF6FBF" w:rsidRDefault="004B30C0" w:rsidP="004B30C0">
      <w:pPr>
        <w:pStyle w:val="ListParagraph"/>
        <w:spacing w:before="240" w:after="160" w:line="259" w:lineRule="auto"/>
        <w:rPr>
          <w:rFonts w:cs="Arial"/>
          <w:b/>
          <w:bCs/>
        </w:rPr>
      </w:pPr>
    </w:p>
    <w:tbl>
      <w:tblPr>
        <w:tblStyle w:val="TableGrid"/>
        <w:tblW w:w="0" w:type="auto"/>
        <w:tblInd w:w="720" w:type="dxa"/>
        <w:tblLook w:val="04A0" w:firstRow="1" w:lastRow="0" w:firstColumn="1" w:lastColumn="0" w:noHBand="0" w:noVBand="1"/>
      </w:tblPr>
      <w:tblGrid>
        <w:gridCol w:w="8296"/>
      </w:tblGrid>
      <w:tr w:rsidR="004B30C0" w14:paraId="31CDF3B7" w14:textId="77777777" w:rsidTr="004B30C0">
        <w:tc>
          <w:tcPr>
            <w:tcW w:w="9016" w:type="dxa"/>
          </w:tcPr>
          <w:p w14:paraId="2F490227" w14:textId="77777777" w:rsidR="004B30C0" w:rsidRDefault="004B30C0" w:rsidP="004B30C0">
            <w:pPr>
              <w:pStyle w:val="ListParagraph"/>
              <w:spacing w:before="240"/>
              <w:ind w:left="0"/>
            </w:pPr>
          </w:p>
          <w:p w14:paraId="1EE452E9" w14:textId="77777777" w:rsidR="004B30C0" w:rsidRDefault="004B30C0" w:rsidP="004B30C0">
            <w:pPr>
              <w:pStyle w:val="ListParagraph"/>
              <w:spacing w:before="240"/>
              <w:ind w:left="0"/>
            </w:pPr>
          </w:p>
          <w:p w14:paraId="384D65B9" w14:textId="77777777" w:rsidR="004B30C0" w:rsidRDefault="004B30C0" w:rsidP="004B30C0">
            <w:pPr>
              <w:pStyle w:val="ListParagraph"/>
              <w:spacing w:before="240"/>
              <w:ind w:left="0"/>
            </w:pPr>
          </w:p>
          <w:p w14:paraId="0C444313" w14:textId="77777777" w:rsidR="004B30C0" w:rsidRDefault="004B30C0" w:rsidP="004B30C0">
            <w:pPr>
              <w:pStyle w:val="ListParagraph"/>
              <w:spacing w:before="240"/>
              <w:ind w:left="0"/>
            </w:pPr>
          </w:p>
        </w:tc>
      </w:tr>
    </w:tbl>
    <w:p w14:paraId="6F574068" w14:textId="36D85295" w:rsidR="0050534F" w:rsidRDefault="0050534F" w:rsidP="00DB7003">
      <w:pPr>
        <w:rPr>
          <w:b/>
          <w:bCs/>
        </w:rPr>
      </w:pPr>
    </w:p>
    <w:p w14:paraId="23E4DDBF" w14:textId="64E0D43F" w:rsidR="00DB7003" w:rsidRDefault="00DB7003" w:rsidP="00DB7003">
      <w:pPr>
        <w:pStyle w:val="ListParagraph"/>
        <w:numPr>
          <w:ilvl w:val="0"/>
          <w:numId w:val="20"/>
        </w:numPr>
        <w:rPr>
          <w:b/>
          <w:bCs/>
        </w:rPr>
      </w:pPr>
      <w:r w:rsidRPr="4D73643E">
        <w:rPr>
          <w:b/>
          <w:bCs/>
        </w:rPr>
        <w:t>More generally, have you felt able to engage in talking about these issues openly in your personal or professional li</w:t>
      </w:r>
      <w:r w:rsidR="3CDC9C62" w:rsidRPr="4D73643E">
        <w:rPr>
          <w:b/>
          <w:bCs/>
        </w:rPr>
        <w:t>fe</w:t>
      </w:r>
      <w:r w:rsidRPr="4D73643E">
        <w:rPr>
          <w:b/>
          <w:bCs/>
        </w:rPr>
        <w:t xml:space="preserve">? </w:t>
      </w:r>
    </w:p>
    <w:p w14:paraId="72709901" w14:textId="64AAB14C" w:rsidR="00DB7003" w:rsidRDefault="00DB7003" w:rsidP="00DB7003">
      <w:pPr>
        <w:pStyle w:val="ListParagraph"/>
        <w:rPr>
          <w:b/>
          <w:bCs/>
        </w:rPr>
      </w:pPr>
    </w:p>
    <w:tbl>
      <w:tblPr>
        <w:tblStyle w:val="TableGrid"/>
        <w:tblW w:w="0" w:type="auto"/>
        <w:tblInd w:w="720" w:type="dxa"/>
        <w:tblLook w:val="04A0" w:firstRow="1" w:lastRow="0" w:firstColumn="1" w:lastColumn="0" w:noHBand="0" w:noVBand="1"/>
      </w:tblPr>
      <w:tblGrid>
        <w:gridCol w:w="8296"/>
      </w:tblGrid>
      <w:tr w:rsidR="00DB7003" w14:paraId="1C7E7229" w14:textId="77777777" w:rsidTr="00DB7003">
        <w:tc>
          <w:tcPr>
            <w:tcW w:w="9016" w:type="dxa"/>
          </w:tcPr>
          <w:p w14:paraId="0909D36C" w14:textId="77777777" w:rsidR="00DB7003" w:rsidRDefault="00DB7003" w:rsidP="00DB7003">
            <w:pPr>
              <w:pStyle w:val="ListParagraph"/>
              <w:ind w:left="0"/>
              <w:rPr>
                <w:b/>
                <w:bCs/>
              </w:rPr>
            </w:pPr>
          </w:p>
          <w:p w14:paraId="059B9230" w14:textId="77777777" w:rsidR="00DB7003" w:rsidRDefault="00DB7003" w:rsidP="00DB7003">
            <w:pPr>
              <w:pStyle w:val="ListParagraph"/>
              <w:ind w:left="0"/>
              <w:rPr>
                <w:b/>
                <w:bCs/>
              </w:rPr>
            </w:pPr>
          </w:p>
          <w:p w14:paraId="1639CCC9" w14:textId="77777777" w:rsidR="00DB7003" w:rsidRDefault="00DB7003" w:rsidP="00DB7003">
            <w:pPr>
              <w:pStyle w:val="ListParagraph"/>
              <w:ind w:left="0"/>
              <w:rPr>
                <w:b/>
                <w:bCs/>
              </w:rPr>
            </w:pPr>
          </w:p>
          <w:p w14:paraId="18194526" w14:textId="3C43F5CF" w:rsidR="00DB7003" w:rsidRDefault="00DB7003" w:rsidP="00DB7003">
            <w:pPr>
              <w:pStyle w:val="ListParagraph"/>
              <w:ind w:left="0"/>
              <w:rPr>
                <w:b/>
                <w:bCs/>
              </w:rPr>
            </w:pPr>
          </w:p>
        </w:tc>
      </w:tr>
    </w:tbl>
    <w:p w14:paraId="0360AD38" w14:textId="77777777" w:rsidR="00DB7003" w:rsidRPr="00DB7003" w:rsidRDefault="00DB7003" w:rsidP="00DB7003">
      <w:pPr>
        <w:pStyle w:val="ListParagraph"/>
        <w:rPr>
          <w:b/>
          <w:bCs/>
        </w:rPr>
      </w:pPr>
    </w:p>
    <w:p w14:paraId="39211505" w14:textId="77777777" w:rsidR="00DB7003" w:rsidRPr="00DB7003" w:rsidRDefault="00DB7003" w:rsidP="00DB7003">
      <w:pPr>
        <w:rPr>
          <w:b/>
          <w:bCs/>
        </w:rPr>
      </w:pPr>
    </w:p>
    <w:sectPr w:rsidR="00DB7003" w:rsidRPr="00DB700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8D25" w14:textId="77777777" w:rsidR="00CE5A2D" w:rsidRDefault="00CE5A2D" w:rsidP="005777EA">
      <w:pPr>
        <w:spacing w:after="0" w:line="240" w:lineRule="auto"/>
      </w:pPr>
      <w:r>
        <w:separator/>
      </w:r>
    </w:p>
  </w:endnote>
  <w:endnote w:type="continuationSeparator" w:id="0">
    <w:p w14:paraId="19DF9085" w14:textId="77777777" w:rsidR="00CE5A2D" w:rsidRDefault="00CE5A2D" w:rsidP="0057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792744"/>
      <w:docPartObj>
        <w:docPartGallery w:val="Page Numbers (Bottom of Page)"/>
        <w:docPartUnique/>
      </w:docPartObj>
    </w:sdtPr>
    <w:sdtEndPr>
      <w:rPr>
        <w:noProof/>
      </w:rPr>
    </w:sdtEndPr>
    <w:sdtContent>
      <w:p w14:paraId="01FC7F0E" w14:textId="5D70E61B" w:rsidR="00CE5A2D" w:rsidRDefault="00CE5A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6D966" w14:textId="77777777" w:rsidR="00CE5A2D" w:rsidRDefault="00C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988F" w14:textId="77777777" w:rsidR="00CE5A2D" w:rsidRDefault="00CE5A2D" w:rsidP="005777EA">
      <w:pPr>
        <w:spacing w:after="0" w:line="240" w:lineRule="auto"/>
      </w:pPr>
      <w:r>
        <w:separator/>
      </w:r>
    </w:p>
  </w:footnote>
  <w:footnote w:type="continuationSeparator" w:id="0">
    <w:p w14:paraId="61999BAB" w14:textId="77777777" w:rsidR="00CE5A2D" w:rsidRDefault="00CE5A2D" w:rsidP="00577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4B8A" w14:textId="35D0DEE0" w:rsidR="00CE5A2D" w:rsidRPr="00E86F01" w:rsidRDefault="00CE5A2D" w:rsidP="00E86F01">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1C1"/>
    <w:multiLevelType w:val="hybridMultilevel"/>
    <w:tmpl w:val="21B0D634"/>
    <w:lvl w:ilvl="0" w:tplc="342E1DD0">
      <w:start w:val="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5514"/>
    <w:multiLevelType w:val="hybridMultilevel"/>
    <w:tmpl w:val="50FA0668"/>
    <w:lvl w:ilvl="0" w:tplc="8CB0A2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43F58"/>
    <w:multiLevelType w:val="hybridMultilevel"/>
    <w:tmpl w:val="768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91D17"/>
    <w:multiLevelType w:val="hybridMultilevel"/>
    <w:tmpl w:val="7BF253B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004DD"/>
    <w:multiLevelType w:val="hybridMultilevel"/>
    <w:tmpl w:val="0602E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05F7"/>
    <w:multiLevelType w:val="hybridMultilevel"/>
    <w:tmpl w:val="06BC9F60"/>
    <w:lvl w:ilvl="0" w:tplc="AF643E9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B4953"/>
    <w:multiLevelType w:val="hybridMultilevel"/>
    <w:tmpl w:val="800E1688"/>
    <w:lvl w:ilvl="0" w:tplc="A0D6B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A9265D"/>
    <w:multiLevelType w:val="hybridMultilevel"/>
    <w:tmpl w:val="CAF4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F18D8"/>
    <w:multiLevelType w:val="hybridMultilevel"/>
    <w:tmpl w:val="20280D78"/>
    <w:lvl w:ilvl="0" w:tplc="93906B2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45935"/>
    <w:multiLevelType w:val="hybridMultilevel"/>
    <w:tmpl w:val="A9DE13E6"/>
    <w:lvl w:ilvl="0" w:tplc="02A615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E79D2"/>
    <w:multiLevelType w:val="hybridMultilevel"/>
    <w:tmpl w:val="C180C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83C65"/>
    <w:multiLevelType w:val="hybridMultilevel"/>
    <w:tmpl w:val="F190B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D2D13"/>
    <w:multiLevelType w:val="hybridMultilevel"/>
    <w:tmpl w:val="51A6DE74"/>
    <w:lvl w:ilvl="0" w:tplc="FFFFFFFF">
      <w:start w:val="1"/>
      <w:numFmt w:val="decimal"/>
      <w:lvlText w:val="%1"/>
      <w:lvlJc w:val="left"/>
      <w:pPr>
        <w:tabs>
          <w:tab w:val="num" w:pos="567"/>
        </w:tabs>
        <w:ind w:left="567" w:hanging="567"/>
      </w:pPr>
      <w:rPr>
        <w:b w:val="0"/>
        <w:i w:val="0"/>
        <w:i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A224B47"/>
    <w:multiLevelType w:val="hybridMultilevel"/>
    <w:tmpl w:val="66125E26"/>
    <w:lvl w:ilvl="0" w:tplc="9B4AC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51459"/>
    <w:multiLevelType w:val="hybridMultilevel"/>
    <w:tmpl w:val="2C76F178"/>
    <w:lvl w:ilvl="0" w:tplc="40FA3A0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23986"/>
    <w:multiLevelType w:val="hybridMultilevel"/>
    <w:tmpl w:val="EA1CEE46"/>
    <w:lvl w:ilvl="0" w:tplc="161A35D8">
      <w:start w:val="6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B698C"/>
    <w:multiLevelType w:val="hybridMultilevel"/>
    <w:tmpl w:val="1F4E4D08"/>
    <w:lvl w:ilvl="0" w:tplc="7CAC4D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06F18"/>
    <w:multiLevelType w:val="hybridMultilevel"/>
    <w:tmpl w:val="0E58889E"/>
    <w:lvl w:ilvl="0" w:tplc="5E185C2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7"/>
  </w:num>
  <w:num w:numId="5">
    <w:abstractNumId w:val="14"/>
  </w:num>
  <w:num w:numId="6">
    <w:abstractNumId w:val="12"/>
  </w:num>
  <w:num w:numId="7">
    <w:abstractNumId w:val="8"/>
  </w:num>
  <w:num w:numId="8">
    <w:abstractNumId w:val="0"/>
  </w:num>
  <w:num w:numId="9">
    <w:abstractNumId w:val="15"/>
  </w:num>
  <w:num w:numId="10">
    <w:abstractNumId w:val="11"/>
  </w:num>
  <w:num w:numId="11">
    <w:abstractNumId w:val="6"/>
  </w:num>
  <w:num w:numId="12">
    <w:abstractNumId w:val="9"/>
  </w:num>
  <w:num w:numId="13">
    <w:abstractNumId w:val="1"/>
  </w:num>
  <w:num w:numId="14">
    <w:abstractNumId w:val="1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1F"/>
    <w:rsid w:val="00002A7F"/>
    <w:rsid w:val="000171DE"/>
    <w:rsid w:val="000265D5"/>
    <w:rsid w:val="0003743D"/>
    <w:rsid w:val="000425F1"/>
    <w:rsid w:val="000526CF"/>
    <w:rsid w:val="00055C92"/>
    <w:rsid w:val="0006565C"/>
    <w:rsid w:val="000B5761"/>
    <w:rsid w:val="000D1595"/>
    <w:rsid w:val="000F17B0"/>
    <w:rsid w:val="00111ED5"/>
    <w:rsid w:val="00124822"/>
    <w:rsid w:val="00127B5B"/>
    <w:rsid w:val="00137D45"/>
    <w:rsid w:val="00184AA8"/>
    <w:rsid w:val="001A224D"/>
    <w:rsid w:val="00210A5C"/>
    <w:rsid w:val="0023510A"/>
    <w:rsid w:val="00242112"/>
    <w:rsid w:val="00246468"/>
    <w:rsid w:val="00256CB7"/>
    <w:rsid w:val="00274B88"/>
    <w:rsid w:val="0029655D"/>
    <w:rsid w:val="002B46FE"/>
    <w:rsid w:val="002C39EE"/>
    <w:rsid w:val="002C68C7"/>
    <w:rsid w:val="002D2DE9"/>
    <w:rsid w:val="002F1EF3"/>
    <w:rsid w:val="003017AD"/>
    <w:rsid w:val="00320E3C"/>
    <w:rsid w:val="003228C0"/>
    <w:rsid w:val="00325840"/>
    <w:rsid w:val="003262AA"/>
    <w:rsid w:val="003402EE"/>
    <w:rsid w:val="00347280"/>
    <w:rsid w:val="00356A5F"/>
    <w:rsid w:val="00366FF4"/>
    <w:rsid w:val="00371A3C"/>
    <w:rsid w:val="00397605"/>
    <w:rsid w:val="003B5FC1"/>
    <w:rsid w:val="003C5E11"/>
    <w:rsid w:val="003D1775"/>
    <w:rsid w:val="003D7103"/>
    <w:rsid w:val="004176C6"/>
    <w:rsid w:val="00431DEE"/>
    <w:rsid w:val="00447968"/>
    <w:rsid w:val="0046179C"/>
    <w:rsid w:val="00487746"/>
    <w:rsid w:val="004B30C0"/>
    <w:rsid w:val="004B61B9"/>
    <w:rsid w:val="004D374C"/>
    <w:rsid w:val="004F3189"/>
    <w:rsid w:val="004F6CDE"/>
    <w:rsid w:val="0050534F"/>
    <w:rsid w:val="00506BB0"/>
    <w:rsid w:val="0051138C"/>
    <w:rsid w:val="00517D34"/>
    <w:rsid w:val="00520C04"/>
    <w:rsid w:val="0053595F"/>
    <w:rsid w:val="00541076"/>
    <w:rsid w:val="0056218F"/>
    <w:rsid w:val="005729E5"/>
    <w:rsid w:val="00577295"/>
    <w:rsid w:val="005777EA"/>
    <w:rsid w:val="005956CD"/>
    <w:rsid w:val="005B1A36"/>
    <w:rsid w:val="005B6C4D"/>
    <w:rsid w:val="005C0161"/>
    <w:rsid w:val="005C3AE3"/>
    <w:rsid w:val="005C5BBE"/>
    <w:rsid w:val="00603A6D"/>
    <w:rsid w:val="00620B11"/>
    <w:rsid w:val="00621391"/>
    <w:rsid w:val="00644685"/>
    <w:rsid w:val="006645EF"/>
    <w:rsid w:val="00665E6F"/>
    <w:rsid w:val="00673C0A"/>
    <w:rsid w:val="00694DC8"/>
    <w:rsid w:val="006D0ABD"/>
    <w:rsid w:val="006D1B3E"/>
    <w:rsid w:val="006D3FC7"/>
    <w:rsid w:val="006E2ECB"/>
    <w:rsid w:val="006E6D13"/>
    <w:rsid w:val="006F3126"/>
    <w:rsid w:val="006F356E"/>
    <w:rsid w:val="00705DA8"/>
    <w:rsid w:val="00706929"/>
    <w:rsid w:val="00710959"/>
    <w:rsid w:val="00737DD2"/>
    <w:rsid w:val="007418A8"/>
    <w:rsid w:val="00741BA9"/>
    <w:rsid w:val="007448B0"/>
    <w:rsid w:val="0075594B"/>
    <w:rsid w:val="007568D5"/>
    <w:rsid w:val="00786D2D"/>
    <w:rsid w:val="007914AA"/>
    <w:rsid w:val="00797248"/>
    <w:rsid w:val="007A2548"/>
    <w:rsid w:val="007A6FCE"/>
    <w:rsid w:val="007B077F"/>
    <w:rsid w:val="007B1149"/>
    <w:rsid w:val="007B75A7"/>
    <w:rsid w:val="007B7CE9"/>
    <w:rsid w:val="007D0B07"/>
    <w:rsid w:val="007E5409"/>
    <w:rsid w:val="007F58D9"/>
    <w:rsid w:val="00807E0F"/>
    <w:rsid w:val="008104C1"/>
    <w:rsid w:val="00840466"/>
    <w:rsid w:val="008425DD"/>
    <w:rsid w:val="0084425F"/>
    <w:rsid w:val="00847B94"/>
    <w:rsid w:val="00850DA5"/>
    <w:rsid w:val="008A66ED"/>
    <w:rsid w:val="008A7902"/>
    <w:rsid w:val="008C0ACC"/>
    <w:rsid w:val="008E204A"/>
    <w:rsid w:val="008E6FFE"/>
    <w:rsid w:val="00935D4E"/>
    <w:rsid w:val="00945F4E"/>
    <w:rsid w:val="0095573A"/>
    <w:rsid w:val="0095778C"/>
    <w:rsid w:val="009605F2"/>
    <w:rsid w:val="00962691"/>
    <w:rsid w:val="00965880"/>
    <w:rsid w:val="009733F7"/>
    <w:rsid w:val="00985D5E"/>
    <w:rsid w:val="0098766C"/>
    <w:rsid w:val="009975DE"/>
    <w:rsid w:val="009A167B"/>
    <w:rsid w:val="009C298A"/>
    <w:rsid w:val="009C5731"/>
    <w:rsid w:val="009D18CB"/>
    <w:rsid w:val="009D3B12"/>
    <w:rsid w:val="00A029AA"/>
    <w:rsid w:val="00A26919"/>
    <w:rsid w:val="00A32296"/>
    <w:rsid w:val="00A42F38"/>
    <w:rsid w:val="00A62C63"/>
    <w:rsid w:val="00A71B22"/>
    <w:rsid w:val="00A7666D"/>
    <w:rsid w:val="00A77240"/>
    <w:rsid w:val="00AC04DD"/>
    <w:rsid w:val="00B026D9"/>
    <w:rsid w:val="00B13816"/>
    <w:rsid w:val="00B30459"/>
    <w:rsid w:val="00B3539D"/>
    <w:rsid w:val="00B65F84"/>
    <w:rsid w:val="00B70DFC"/>
    <w:rsid w:val="00B83D31"/>
    <w:rsid w:val="00B900CD"/>
    <w:rsid w:val="00B97093"/>
    <w:rsid w:val="00BA2662"/>
    <w:rsid w:val="00BB4FE0"/>
    <w:rsid w:val="00BD2E55"/>
    <w:rsid w:val="00C07905"/>
    <w:rsid w:val="00C2044D"/>
    <w:rsid w:val="00C34F5C"/>
    <w:rsid w:val="00C46FA0"/>
    <w:rsid w:val="00C51C3B"/>
    <w:rsid w:val="00C5795E"/>
    <w:rsid w:val="00C61830"/>
    <w:rsid w:val="00C65BD5"/>
    <w:rsid w:val="00C92385"/>
    <w:rsid w:val="00C96E95"/>
    <w:rsid w:val="00CC4A7B"/>
    <w:rsid w:val="00CD26A8"/>
    <w:rsid w:val="00CE5A2D"/>
    <w:rsid w:val="00CF737C"/>
    <w:rsid w:val="00D023BF"/>
    <w:rsid w:val="00D07CE9"/>
    <w:rsid w:val="00D1292C"/>
    <w:rsid w:val="00D13253"/>
    <w:rsid w:val="00D2726D"/>
    <w:rsid w:val="00D40244"/>
    <w:rsid w:val="00D45319"/>
    <w:rsid w:val="00D62567"/>
    <w:rsid w:val="00D6365D"/>
    <w:rsid w:val="00D654F4"/>
    <w:rsid w:val="00D75901"/>
    <w:rsid w:val="00D811AB"/>
    <w:rsid w:val="00D81899"/>
    <w:rsid w:val="00D95804"/>
    <w:rsid w:val="00D965E6"/>
    <w:rsid w:val="00DA3446"/>
    <w:rsid w:val="00DB7003"/>
    <w:rsid w:val="00DB77B4"/>
    <w:rsid w:val="00DE6EE1"/>
    <w:rsid w:val="00DF5841"/>
    <w:rsid w:val="00DF73A8"/>
    <w:rsid w:val="00E17177"/>
    <w:rsid w:val="00E4680F"/>
    <w:rsid w:val="00E53283"/>
    <w:rsid w:val="00E57E17"/>
    <w:rsid w:val="00E65AFF"/>
    <w:rsid w:val="00E74775"/>
    <w:rsid w:val="00E75E72"/>
    <w:rsid w:val="00E86F01"/>
    <w:rsid w:val="00E93B69"/>
    <w:rsid w:val="00EA3D3C"/>
    <w:rsid w:val="00EC2FE8"/>
    <w:rsid w:val="00EF73F9"/>
    <w:rsid w:val="00F05B6B"/>
    <w:rsid w:val="00F11995"/>
    <w:rsid w:val="00F25824"/>
    <w:rsid w:val="00F4091F"/>
    <w:rsid w:val="00F43E06"/>
    <w:rsid w:val="00F45E2C"/>
    <w:rsid w:val="00F57560"/>
    <w:rsid w:val="00F744CB"/>
    <w:rsid w:val="00F87C86"/>
    <w:rsid w:val="00F94C39"/>
    <w:rsid w:val="00FA1334"/>
    <w:rsid w:val="00FB118B"/>
    <w:rsid w:val="00FC1A9B"/>
    <w:rsid w:val="00FC6443"/>
    <w:rsid w:val="00FF611A"/>
    <w:rsid w:val="00FF64F2"/>
    <w:rsid w:val="01817ABD"/>
    <w:rsid w:val="02423B68"/>
    <w:rsid w:val="026DDD0A"/>
    <w:rsid w:val="02BF4A93"/>
    <w:rsid w:val="030C9E5A"/>
    <w:rsid w:val="031B1A60"/>
    <w:rsid w:val="0343F6F8"/>
    <w:rsid w:val="03F6AB90"/>
    <w:rsid w:val="051DA409"/>
    <w:rsid w:val="056B570C"/>
    <w:rsid w:val="063F0B74"/>
    <w:rsid w:val="0643F424"/>
    <w:rsid w:val="06AC57B4"/>
    <w:rsid w:val="06FF2AC5"/>
    <w:rsid w:val="0769FAD3"/>
    <w:rsid w:val="07B1E04F"/>
    <w:rsid w:val="07E6AA59"/>
    <w:rsid w:val="08830C96"/>
    <w:rsid w:val="08B30EEE"/>
    <w:rsid w:val="08CC485E"/>
    <w:rsid w:val="09064259"/>
    <w:rsid w:val="096F96E2"/>
    <w:rsid w:val="09A9C158"/>
    <w:rsid w:val="0A87C41C"/>
    <w:rsid w:val="0AA212BA"/>
    <w:rsid w:val="0AAC1878"/>
    <w:rsid w:val="0BD304D5"/>
    <w:rsid w:val="0BF0F1F3"/>
    <w:rsid w:val="0C1FD84B"/>
    <w:rsid w:val="0C8F09DC"/>
    <w:rsid w:val="0CCEBC42"/>
    <w:rsid w:val="0E25D3DA"/>
    <w:rsid w:val="0E403A25"/>
    <w:rsid w:val="0E4BA13A"/>
    <w:rsid w:val="0FDD56D1"/>
    <w:rsid w:val="0FEFB2BB"/>
    <w:rsid w:val="102E90ED"/>
    <w:rsid w:val="10507F55"/>
    <w:rsid w:val="10C1B8D5"/>
    <w:rsid w:val="111BF0D2"/>
    <w:rsid w:val="117D0154"/>
    <w:rsid w:val="121C3AAE"/>
    <w:rsid w:val="122F9F88"/>
    <w:rsid w:val="125D8936"/>
    <w:rsid w:val="12886CA8"/>
    <w:rsid w:val="12A52596"/>
    <w:rsid w:val="12DC5863"/>
    <w:rsid w:val="131B8D3B"/>
    <w:rsid w:val="1326F3BF"/>
    <w:rsid w:val="133AC3FB"/>
    <w:rsid w:val="137143F0"/>
    <w:rsid w:val="13AC38B4"/>
    <w:rsid w:val="13B061F5"/>
    <w:rsid w:val="13BFE80B"/>
    <w:rsid w:val="1418265A"/>
    <w:rsid w:val="144F0E70"/>
    <w:rsid w:val="14D2E2DE"/>
    <w:rsid w:val="1535A284"/>
    <w:rsid w:val="1563CBA4"/>
    <w:rsid w:val="166CF0F4"/>
    <w:rsid w:val="16B7ECD3"/>
    <w:rsid w:val="16CB42A2"/>
    <w:rsid w:val="174E91A0"/>
    <w:rsid w:val="17B0D1D3"/>
    <w:rsid w:val="17BD23BF"/>
    <w:rsid w:val="18852D83"/>
    <w:rsid w:val="1893F2E3"/>
    <w:rsid w:val="1946032B"/>
    <w:rsid w:val="1947858B"/>
    <w:rsid w:val="1A26A902"/>
    <w:rsid w:val="1A71E683"/>
    <w:rsid w:val="1AB79F0C"/>
    <w:rsid w:val="1AD11DB3"/>
    <w:rsid w:val="1AF218BF"/>
    <w:rsid w:val="1AF5E014"/>
    <w:rsid w:val="1B0E6007"/>
    <w:rsid w:val="1B4E8D5C"/>
    <w:rsid w:val="1B6C5C60"/>
    <w:rsid w:val="1BA21F55"/>
    <w:rsid w:val="1BEA4369"/>
    <w:rsid w:val="1C0EF6FD"/>
    <w:rsid w:val="1CC0B3B1"/>
    <w:rsid w:val="1CC67628"/>
    <w:rsid w:val="1D19B0AD"/>
    <w:rsid w:val="1D495047"/>
    <w:rsid w:val="1E3659D5"/>
    <w:rsid w:val="1E5420D2"/>
    <w:rsid w:val="1E720110"/>
    <w:rsid w:val="1EB8C48C"/>
    <w:rsid w:val="1F033467"/>
    <w:rsid w:val="20020365"/>
    <w:rsid w:val="2013750E"/>
    <w:rsid w:val="202C4842"/>
    <w:rsid w:val="20A8E3FB"/>
    <w:rsid w:val="20D9FEA9"/>
    <w:rsid w:val="20F0139B"/>
    <w:rsid w:val="2107962D"/>
    <w:rsid w:val="210ECD1B"/>
    <w:rsid w:val="214B5E2C"/>
    <w:rsid w:val="2166B198"/>
    <w:rsid w:val="21CE500B"/>
    <w:rsid w:val="220DEF03"/>
    <w:rsid w:val="22238086"/>
    <w:rsid w:val="2253454B"/>
    <w:rsid w:val="22B033FB"/>
    <w:rsid w:val="232FF535"/>
    <w:rsid w:val="233304B9"/>
    <w:rsid w:val="23FC280A"/>
    <w:rsid w:val="2416B600"/>
    <w:rsid w:val="242FB8B6"/>
    <w:rsid w:val="2457853F"/>
    <w:rsid w:val="246B7FE3"/>
    <w:rsid w:val="249ABA82"/>
    <w:rsid w:val="24CA03D6"/>
    <w:rsid w:val="24D83772"/>
    <w:rsid w:val="24F2B845"/>
    <w:rsid w:val="250CF744"/>
    <w:rsid w:val="252CE1EE"/>
    <w:rsid w:val="2555F6B3"/>
    <w:rsid w:val="25818301"/>
    <w:rsid w:val="25D6CD68"/>
    <w:rsid w:val="26B3547F"/>
    <w:rsid w:val="26C8B7D1"/>
    <w:rsid w:val="27857EB5"/>
    <w:rsid w:val="279D63A6"/>
    <w:rsid w:val="283AF5D6"/>
    <w:rsid w:val="285DC834"/>
    <w:rsid w:val="29018918"/>
    <w:rsid w:val="2913CB6F"/>
    <w:rsid w:val="294618FA"/>
    <w:rsid w:val="298D84BD"/>
    <w:rsid w:val="29B1F3A4"/>
    <w:rsid w:val="29E97CC9"/>
    <w:rsid w:val="2A6B698E"/>
    <w:rsid w:val="2AB32268"/>
    <w:rsid w:val="2AC7FF40"/>
    <w:rsid w:val="2B1DD296"/>
    <w:rsid w:val="2B2C4AE6"/>
    <w:rsid w:val="2B4DDEF4"/>
    <w:rsid w:val="2B903B2C"/>
    <w:rsid w:val="2BCA7A90"/>
    <w:rsid w:val="2BD7A650"/>
    <w:rsid w:val="2C14E3AF"/>
    <w:rsid w:val="2C94AD11"/>
    <w:rsid w:val="2CBF7681"/>
    <w:rsid w:val="2D0E5060"/>
    <w:rsid w:val="2D8B12E5"/>
    <w:rsid w:val="2E014B2C"/>
    <w:rsid w:val="2EB28987"/>
    <w:rsid w:val="2F038CCF"/>
    <w:rsid w:val="2FB2E80D"/>
    <w:rsid w:val="2FF71743"/>
    <w:rsid w:val="300E0283"/>
    <w:rsid w:val="311DA303"/>
    <w:rsid w:val="3189F367"/>
    <w:rsid w:val="321904CE"/>
    <w:rsid w:val="3258E679"/>
    <w:rsid w:val="32F0B4A2"/>
    <w:rsid w:val="33D48E37"/>
    <w:rsid w:val="3438C3BF"/>
    <w:rsid w:val="343CEB76"/>
    <w:rsid w:val="34C763EA"/>
    <w:rsid w:val="34EA6B5E"/>
    <w:rsid w:val="34ECE66A"/>
    <w:rsid w:val="356888E5"/>
    <w:rsid w:val="3653173B"/>
    <w:rsid w:val="36A6F506"/>
    <w:rsid w:val="3724993A"/>
    <w:rsid w:val="375CFE8B"/>
    <w:rsid w:val="385A6DB7"/>
    <w:rsid w:val="38DBE445"/>
    <w:rsid w:val="3924C150"/>
    <w:rsid w:val="39594FDD"/>
    <w:rsid w:val="39A32341"/>
    <w:rsid w:val="3A4AD001"/>
    <w:rsid w:val="3A5F9CFE"/>
    <w:rsid w:val="3A69F87C"/>
    <w:rsid w:val="3A98DD29"/>
    <w:rsid w:val="3A9EC873"/>
    <w:rsid w:val="3B6A847D"/>
    <w:rsid w:val="3B81A044"/>
    <w:rsid w:val="3BCFF96E"/>
    <w:rsid w:val="3C488331"/>
    <w:rsid w:val="3CDC9C62"/>
    <w:rsid w:val="3DC6D9AA"/>
    <w:rsid w:val="3E7F8758"/>
    <w:rsid w:val="3E8078DF"/>
    <w:rsid w:val="3F593E9E"/>
    <w:rsid w:val="3F770A86"/>
    <w:rsid w:val="3F9E1ED8"/>
    <w:rsid w:val="40094926"/>
    <w:rsid w:val="401E70FA"/>
    <w:rsid w:val="402F9911"/>
    <w:rsid w:val="416758E5"/>
    <w:rsid w:val="41752683"/>
    <w:rsid w:val="41DB8D03"/>
    <w:rsid w:val="41DFCA03"/>
    <w:rsid w:val="4201872F"/>
    <w:rsid w:val="4283A604"/>
    <w:rsid w:val="43A69B57"/>
    <w:rsid w:val="43E29EBD"/>
    <w:rsid w:val="442DADFE"/>
    <w:rsid w:val="44A3E0C7"/>
    <w:rsid w:val="452A9A52"/>
    <w:rsid w:val="453CA1A3"/>
    <w:rsid w:val="4590EBDD"/>
    <w:rsid w:val="45D0F87E"/>
    <w:rsid w:val="46782B59"/>
    <w:rsid w:val="467D9A85"/>
    <w:rsid w:val="467E4D86"/>
    <w:rsid w:val="4698C882"/>
    <w:rsid w:val="469AB0E1"/>
    <w:rsid w:val="474CBAAE"/>
    <w:rsid w:val="476CC8DF"/>
    <w:rsid w:val="47C71B5F"/>
    <w:rsid w:val="48FE0986"/>
    <w:rsid w:val="493E740B"/>
    <w:rsid w:val="49FBB93E"/>
    <w:rsid w:val="4A8C2BE0"/>
    <w:rsid w:val="4AB90535"/>
    <w:rsid w:val="4B318204"/>
    <w:rsid w:val="4B385BD3"/>
    <w:rsid w:val="4B6C8F0F"/>
    <w:rsid w:val="4B96B111"/>
    <w:rsid w:val="4BC4AC60"/>
    <w:rsid w:val="4C05222A"/>
    <w:rsid w:val="4C094672"/>
    <w:rsid w:val="4C3C6531"/>
    <w:rsid w:val="4D103699"/>
    <w:rsid w:val="4D328172"/>
    <w:rsid w:val="4D33EA77"/>
    <w:rsid w:val="4D73643E"/>
    <w:rsid w:val="4E02E057"/>
    <w:rsid w:val="4E31D6CF"/>
    <w:rsid w:val="4F921FEA"/>
    <w:rsid w:val="4FB5189F"/>
    <w:rsid w:val="4FC65C6D"/>
    <w:rsid w:val="503CD4A1"/>
    <w:rsid w:val="506B9DB7"/>
    <w:rsid w:val="50B3CD9C"/>
    <w:rsid w:val="5146535E"/>
    <w:rsid w:val="52076E18"/>
    <w:rsid w:val="5207C663"/>
    <w:rsid w:val="52883431"/>
    <w:rsid w:val="52AB9A88"/>
    <w:rsid w:val="530751F6"/>
    <w:rsid w:val="5319182E"/>
    <w:rsid w:val="531D0909"/>
    <w:rsid w:val="53ABEE1A"/>
    <w:rsid w:val="542548F9"/>
    <w:rsid w:val="5504E3A3"/>
    <w:rsid w:val="55A7762B"/>
    <w:rsid w:val="562C1DCF"/>
    <w:rsid w:val="5650B8F0"/>
    <w:rsid w:val="56BC3946"/>
    <w:rsid w:val="5710E20D"/>
    <w:rsid w:val="5770C04B"/>
    <w:rsid w:val="5793B462"/>
    <w:rsid w:val="57D2DF91"/>
    <w:rsid w:val="5806A722"/>
    <w:rsid w:val="5877E924"/>
    <w:rsid w:val="58A9AC6E"/>
    <w:rsid w:val="58CC21B1"/>
    <w:rsid w:val="59181985"/>
    <w:rsid w:val="596C21D1"/>
    <w:rsid w:val="59BAE89C"/>
    <w:rsid w:val="5A4BD9EA"/>
    <w:rsid w:val="5A845E43"/>
    <w:rsid w:val="5AB7D50C"/>
    <w:rsid w:val="5B038784"/>
    <w:rsid w:val="5B17ED06"/>
    <w:rsid w:val="5B32C2BC"/>
    <w:rsid w:val="5B628ED6"/>
    <w:rsid w:val="5BBA4C3C"/>
    <w:rsid w:val="5C423CC7"/>
    <w:rsid w:val="5C732DA9"/>
    <w:rsid w:val="5C7823EE"/>
    <w:rsid w:val="5C7DDDB6"/>
    <w:rsid w:val="5CB87EC4"/>
    <w:rsid w:val="5CD6FD5E"/>
    <w:rsid w:val="5D1B46AA"/>
    <w:rsid w:val="5D209DD6"/>
    <w:rsid w:val="5D62CBBA"/>
    <w:rsid w:val="5DA27E9A"/>
    <w:rsid w:val="5DFD5CF7"/>
    <w:rsid w:val="5E3E3BFD"/>
    <w:rsid w:val="5E5A9620"/>
    <w:rsid w:val="5EE72AA8"/>
    <w:rsid w:val="5F891CB2"/>
    <w:rsid w:val="5FEB4669"/>
    <w:rsid w:val="601D287E"/>
    <w:rsid w:val="607C2364"/>
    <w:rsid w:val="60A56DD3"/>
    <w:rsid w:val="60B1B9A4"/>
    <w:rsid w:val="616E16A6"/>
    <w:rsid w:val="6195CE4A"/>
    <w:rsid w:val="625B367D"/>
    <w:rsid w:val="62B848F2"/>
    <w:rsid w:val="631A0476"/>
    <w:rsid w:val="63E1516C"/>
    <w:rsid w:val="63FEB0B1"/>
    <w:rsid w:val="642AFB3A"/>
    <w:rsid w:val="64902C24"/>
    <w:rsid w:val="649C4C22"/>
    <w:rsid w:val="64DA0F2B"/>
    <w:rsid w:val="6509EBEE"/>
    <w:rsid w:val="658348EB"/>
    <w:rsid w:val="6594D281"/>
    <w:rsid w:val="65BEFD8A"/>
    <w:rsid w:val="65CE43A5"/>
    <w:rsid w:val="66CA0AE3"/>
    <w:rsid w:val="66CC2F77"/>
    <w:rsid w:val="66F1CB8A"/>
    <w:rsid w:val="6701A02C"/>
    <w:rsid w:val="67C62BD1"/>
    <w:rsid w:val="67FFFBC3"/>
    <w:rsid w:val="68853E5A"/>
    <w:rsid w:val="692D42C5"/>
    <w:rsid w:val="6937303D"/>
    <w:rsid w:val="6A03D039"/>
    <w:rsid w:val="6A2270A6"/>
    <w:rsid w:val="6A860362"/>
    <w:rsid w:val="6B320EC1"/>
    <w:rsid w:val="6BAC537D"/>
    <w:rsid w:val="6BFD86EE"/>
    <w:rsid w:val="6C0DB594"/>
    <w:rsid w:val="6C3DEA45"/>
    <w:rsid w:val="6C6493A0"/>
    <w:rsid w:val="6C913EF9"/>
    <w:rsid w:val="6CDC76FF"/>
    <w:rsid w:val="6CE8B77D"/>
    <w:rsid w:val="6D0A97BD"/>
    <w:rsid w:val="6D9BF754"/>
    <w:rsid w:val="6E210736"/>
    <w:rsid w:val="6E2A060B"/>
    <w:rsid w:val="6EA80B98"/>
    <w:rsid w:val="6F2FC969"/>
    <w:rsid w:val="6F9F93CD"/>
    <w:rsid w:val="6FC2AC7F"/>
    <w:rsid w:val="6FF3A6BD"/>
    <w:rsid w:val="70015E4C"/>
    <w:rsid w:val="71530F09"/>
    <w:rsid w:val="716C4879"/>
    <w:rsid w:val="71958651"/>
    <w:rsid w:val="71D53C51"/>
    <w:rsid w:val="724D8895"/>
    <w:rsid w:val="72DF762D"/>
    <w:rsid w:val="73048724"/>
    <w:rsid w:val="739CBA11"/>
    <w:rsid w:val="73C23600"/>
    <w:rsid w:val="740D6E16"/>
    <w:rsid w:val="74ED4BFE"/>
    <w:rsid w:val="74EF4330"/>
    <w:rsid w:val="750C8A7A"/>
    <w:rsid w:val="75164C65"/>
    <w:rsid w:val="754B8A8C"/>
    <w:rsid w:val="754F8BDD"/>
    <w:rsid w:val="755175D6"/>
    <w:rsid w:val="76200127"/>
    <w:rsid w:val="76298EFB"/>
    <w:rsid w:val="763781E1"/>
    <w:rsid w:val="76521BED"/>
    <w:rsid w:val="7678993D"/>
    <w:rsid w:val="76C711E3"/>
    <w:rsid w:val="77461062"/>
    <w:rsid w:val="776C73D9"/>
    <w:rsid w:val="77FC3037"/>
    <w:rsid w:val="781CD4B5"/>
    <w:rsid w:val="78456BDF"/>
    <w:rsid w:val="786331A6"/>
    <w:rsid w:val="7917A533"/>
    <w:rsid w:val="793A9500"/>
    <w:rsid w:val="7944F891"/>
    <w:rsid w:val="79DD0BC8"/>
    <w:rsid w:val="79E24604"/>
    <w:rsid w:val="79F9F22E"/>
    <w:rsid w:val="7A847BCB"/>
    <w:rsid w:val="7AA30C05"/>
    <w:rsid w:val="7AD28E0B"/>
    <w:rsid w:val="7AF491ED"/>
    <w:rsid w:val="7B59875D"/>
    <w:rsid w:val="7B679D8B"/>
    <w:rsid w:val="7BCA96A3"/>
    <w:rsid w:val="7BD5504D"/>
    <w:rsid w:val="7BFF5555"/>
    <w:rsid w:val="7C30EFE5"/>
    <w:rsid w:val="7D0718C8"/>
    <w:rsid w:val="7D66CB7B"/>
    <w:rsid w:val="7D6ECA44"/>
    <w:rsid w:val="7DE19FCB"/>
    <w:rsid w:val="7EEB7C7C"/>
    <w:rsid w:val="7EF5A3C6"/>
    <w:rsid w:val="7F12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965F"/>
  <w15:chartTrackingRefBased/>
  <w15:docId w15:val="{BA072097-34C0-4932-BBF0-C960DEA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C0"/>
    <w:pPr>
      <w:spacing w:after="240" w:line="276"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86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189"/>
    <w:rPr>
      <w:color w:val="0563C1" w:themeColor="hyperlink"/>
      <w:u w:val="single"/>
    </w:rPr>
  </w:style>
  <w:style w:type="character" w:styleId="UnresolvedMention">
    <w:name w:val="Unresolved Mention"/>
    <w:basedOn w:val="DefaultParagraphFont"/>
    <w:uiPriority w:val="99"/>
    <w:semiHidden/>
    <w:unhideWhenUsed/>
    <w:rsid w:val="004F3189"/>
    <w:rPr>
      <w:color w:val="605E5C"/>
      <w:shd w:val="clear" w:color="auto" w:fill="E1DFDD"/>
    </w:rPr>
  </w:style>
  <w:style w:type="paragraph" w:styleId="ListParagraph">
    <w:name w:val="List Paragraph"/>
    <w:basedOn w:val="Normal"/>
    <w:uiPriority w:val="34"/>
    <w:qFormat/>
    <w:rsid w:val="00EC2FE8"/>
    <w:pPr>
      <w:ind w:left="720"/>
      <w:contextualSpacing/>
    </w:pPr>
  </w:style>
  <w:style w:type="character" w:styleId="CommentReference">
    <w:name w:val="annotation reference"/>
    <w:basedOn w:val="DefaultParagraphFont"/>
    <w:uiPriority w:val="99"/>
    <w:semiHidden/>
    <w:unhideWhenUsed/>
    <w:rsid w:val="00EC2FE8"/>
    <w:rPr>
      <w:sz w:val="16"/>
      <w:szCs w:val="16"/>
    </w:rPr>
  </w:style>
  <w:style w:type="paragraph" w:styleId="CommentText">
    <w:name w:val="annotation text"/>
    <w:basedOn w:val="Normal"/>
    <w:link w:val="CommentTextChar"/>
    <w:uiPriority w:val="99"/>
    <w:unhideWhenUsed/>
    <w:rsid w:val="00EC2FE8"/>
    <w:pPr>
      <w:spacing w:line="240" w:lineRule="auto"/>
    </w:pPr>
    <w:rPr>
      <w:sz w:val="20"/>
    </w:rPr>
  </w:style>
  <w:style w:type="character" w:customStyle="1" w:styleId="CommentTextChar">
    <w:name w:val="Comment Text Char"/>
    <w:basedOn w:val="DefaultParagraphFont"/>
    <w:link w:val="CommentText"/>
    <w:uiPriority w:val="99"/>
    <w:rsid w:val="00EC2FE8"/>
    <w:rPr>
      <w:sz w:val="20"/>
      <w:szCs w:val="20"/>
    </w:rPr>
  </w:style>
  <w:style w:type="paragraph" w:styleId="CommentSubject">
    <w:name w:val="annotation subject"/>
    <w:basedOn w:val="CommentText"/>
    <w:next w:val="CommentText"/>
    <w:link w:val="CommentSubjectChar"/>
    <w:uiPriority w:val="99"/>
    <w:semiHidden/>
    <w:unhideWhenUsed/>
    <w:rsid w:val="00EC2FE8"/>
    <w:rPr>
      <w:b/>
      <w:bCs/>
    </w:rPr>
  </w:style>
  <w:style w:type="character" w:customStyle="1" w:styleId="CommentSubjectChar">
    <w:name w:val="Comment Subject Char"/>
    <w:basedOn w:val="CommentTextChar"/>
    <w:link w:val="CommentSubject"/>
    <w:uiPriority w:val="99"/>
    <w:semiHidden/>
    <w:rsid w:val="00EC2FE8"/>
    <w:rPr>
      <w:b/>
      <w:bCs/>
      <w:sz w:val="20"/>
      <w:szCs w:val="20"/>
    </w:rPr>
  </w:style>
  <w:style w:type="table" w:styleId="TableGrid">
    <w:name w:val="Table Grid"/>
    <w:basedOn w:val="TableNormal"/>
    <w:uiPriority w:val="39"/>
    <w:rsid w:val="00EC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FA0"/>
    <w:rPr>
      <w:color w:val="954F72" w:themeColor="followedHyperlink"/>
      <w:u w:val="single"/>
    </w:rPr>
  </w:style>
  <w:style w:type="paragraph" w:styleId="FootnoteText">
    <w:name w:val="footnote text"/>
    <w:basedOn w:val="Normal"/>
    <w:link w:val="FootnoteTextChar"/>
    <w:uiPriority w:val="99"/>
    <w:semiHidden/>
    <w:rsid w:val="005777EA"/>
    <w:rPr>
      <w:rFonts w:ascii="Univers" w:hAnsi="Univers"/>
      <w:sz w:val="20"/>
    </w:rPr>
  </w:style>
  <w:style w:type="character" w:customStyle="1" w:styleId="FootnoteTextChar">
    <w:name w:val="Footnote Text Char"/>
    <w:basedOn w:val="DefaultParagraphFont"/>
    <w:link w:val="FootnoteText"/>
    <w:uiPriority w:val="99"/>
    <w:semiHidden/>
    <w:rsid w:val="005777EA"/>
    <w:rPr>
      <w:rFonts w:ascii="Univers" w:eastAsia="Times New Roman" w:hAnsi="Univers" w:cs="Times New Roman"/>
      <w:sz w:val="20"/>
      <w:szCs w:val="20"/>
      <w:lang w:eastAsia="en-GB"/>
    </w:rPr>
  </w:style>
  <w:style w:type="character" w:styleId="FootnoteReference">
    <w:name w:val="footnote reference"/>
    <w:uiPriority w:val="99"/>
    <w:rsid w:val="005777EA"/>
    <w:rPr>
      <w:vertAlign w:val="superscript"/>
    </w:rPr>
  </w:style>
  <w:style w:type="paragraph" w:styleId="EndnoteText">
    <w:name w:val="endnote text"/>
    <w:basedOn w:val="Normal"/>
    <w:link w:val="EndnoteTextChar"/>
    <w:uiPriority w:val="99"/>
    <w:rsid w:val="005777EA"/>
    <w:pPr>
      <w:spacing w:after="0" w:line="240" w:lineRule="auto"/>
    </w:pPr>
    <w:rPr>
      <w:sz w:val="20"/>
    </w:rPr>
  </w:style>
  <w:style w:type="character" w:customStyle="1" w:styleId="EndnoteTextChar">
    <w:name w:val="Endnote Text Char"/>
    <w:basedOn w:val="DefaultParagraphFont"/>
    <w:link w:val="EndnoteText"/>
    <w:uiPriority w:val="99"/>
    <w:rsid w:val="005777EA"/>
    <w:rPr>
      <w:rFonts w:ascii="Arial" w:eastAsia="Times New Roman" w:hAnsi="Arial" w:cs="Times New Roman"/>
      <w:sz w:val="20"/>
      <w:szCs w:val="20"/>
      <w:lang w:eastAsia="en-GB"/>
    </w:rPr>
  </w:style>
  <w:style w:type="character" w:styleId="EndnoteReference">
    <w:name w:val="endnote reference"/>
    <w:uiPriority w:val="99"/>
    <w:rsid w:val="005777EA"/>
    <w:rPr>
      <w:vertAlign w:val="superscript"/>
    </w:rPr>
  </w:style>
  <w:style w:type="character" w:customStyle="1" w:styleId="normaltextrun">
    <w:name w:val="normaltextrun"/>
    <w:basedOn w:val="DefaultParagraphFont"/>
    <w:rsid w:val="00D81899"/>
  </w:style>
  <w:style w:type="paragraph" w:styleId="Header">
    <w:name w:val="header"/>
    <w:basedOn w:val="Normal"/>
    <w:link w:val="HeaderChar"/>
    <w:uiPriority w:val="99"/>
    <w:unhideWhenUsed/>
    <w:rsid w:val="00E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F01"/>
  </w:style>
  <w:style w:type="paragraph" w:styleId="Footer">
    <w:name w:val="footer"/>
    <w:basedOn w:val="Normal"/>
    <w:link w:val="FooterChar"/>
    <w:uiPriority w:val="99"/>
    <w:unhideWhenUsed/>
    <w:rsid w:val="00E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F01"/>
  </w:style>
  <w:style w:type="character" w:customStyle="1" w:styleId="Heading1Char">
    <w:name w:val="Heading 1 Char"/>
    <w:basedOn w:val="DefaultParagraphFont"/>
    <w:link w:val="Heading1"/>
    <w:uiPriority w:val="9"/>
    <w:rsid w:val="00E86F0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24822"/>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2004">
      <w:bodyDiv w:val="1"/>
      <w:marLeft w:val="0"/>
      <w:marRight w:val="0"/>
      <w:marTop w:val="0"/>
      <w:marBottom w:val="0"/>
      <w:divBdr>
        <w:top w:val="none" w:sz="0" w:space="0" w:color="auto"/>
        <w:left w:val="none" w:sz="0" w:space="0" w:color="auto"/>
        <w:bottom w:val="none" w:sz="0" w:space="0" w:color="auto"/>
        <w:right w:val="none" w:sz="0" w:space="0" w:color="auto"/>
      </w:divBdr>
    </w:div>
    <w:div w:id="618297407">
      <w:bodyDiv w:val="1"/>
      <w:marLeft w:val="0"/>
      <w:marRight w:val="0"/>
      <w:marTop w:val="0"/>
      <w:marBottom w:val="0"/>
      <w:divBdr>
        <w:top w:val="none" w:sz="0" w:space="0" w:color="auto"/>
        <w:left w:val="none" w:sz="0" w:space="0" w:color="auto"/>
        <w:bottom w:val="none" w:sz="0" w:space="0" w:color="auto"/>
        <w:right w:val="none" w:sz="0" w:space="0" w:color="auto"/>
      </w:divBdr>
    </w:div>
    <w:div w:id="656298278">
      <w:bodyDiv w:val="1"/>
      <w:marLeft w:val="0"/>
      <w:marRight w:val="0"/>
      <w:marTop w:val="0"/>
      <w:marBottom w:val="0"/>
      <w:divBdr>
        <w:top w:val="none" w:sz="0" w:space="0" w:color="auto"/>
        <w:left w:val="none" w:sz="0" w:space="0" w:color="auto"/>
        <w:bottom w:val="none" w:sz="0" w:space="0" w:color="auto"/>
        <w:right w:val="none" w:sz="0" w:space="0" w:color="auto"/>
      </w:divBdr>
    </w:div>
    <w:div w:id="689843528">
      <w:bodyDiv w:val="1"/>
      <w:marLeft w:val="0"/>
      <w:marRight w:val="0"/>
      <w:marTop w:val="0"/>
      <w:marBottom w:val="0"/>
      <w:divBdr>
        <w:top w:val="none" w:sz="0" w:space="0" w:color="auto"/>
        <w:left w:val="none" w:sz="0" w:space="0" w:color="auto"/>
        <w:bottom w:val="none" w:sz="0" w:space="0" w:color="auto"/>
        <w:right w:val="none" w:sz="0" w:space="0" w:color="auto"/>
      </w:divBdr>
    </w:div>
    <w:div w:id="875392510">
      <w:bodyDiv w:val="1"/>
      <w:marLeft w:val="0"/>
      <w:marRight w:val="0"/>
      <w:marTop w:val="0"/>
      <w:marBottom w:val="0"/>
      <w:divBdr>
        <w:top w:val="none" w:sz="0" w:space="0" w:color="auto"/>
        <w:left w:val="none" w:sz="0" w:space="0" w:color="auto"/>
        <w:bottom w:val="none" w:sz="0" w:space="0" w:color="auto"/>
        <w:right w:val="none" w:sz="0" w:space="0" w:color="auto"/>
      </w:divBdr>
    </w:div>
    <w:div w:id="920404796">
      <w:bodyDiv w:val="1"/>
      <w:marLeft w:val="0"/>
      <w:marRight w:val="0"/>
      <w:marTop w:val="0"/>
      <w:marBottom w:val="0"/>
      <w:divBdr>
        <w:top w:val="none" w:sz="0" w:space="0" w:color="auto"/>
        <w:left w:val="none" w:sz="0" w:space="0" w:color="auto"/>
        <w:bottom w:val="none" w:sz="0" w:space="0" w:color="auto"/>
        <w:right w:val="none" w:sz="0" w:space="0" w:color="auto"/>
      </w:divBdr>
    </w:div>
    <w:div w:id="1015495061">
      <w:bodyDiv w:val="1"/>
      <w:marLeft w:val="0"/>
      <w:marRight w:val="0"/>
      <w:marTop w:val="0"/>
      <w:marBottom w:val="0"/>
      <w:divBdr>
        <w:top w:val="none" w:sz="0" w:space="0" w:color="auto"/>
        <w:left w:val="none" w:sz="0" w:space="0" w:color="auto"/>
        <w:bottom w:val="none" w:sz="0" w:space="0" w:color="auto"/>
        <w:right w:val="none" w:sz="0" w:space="0" w:color="auto"/>
      </w:divBdr>
    </w:div>
    <w:div w:id="1262880969">
      <w:bodyDiv w:val="1"/>
      <w:marLeft w:val="0"/>
      <w:marRight w:val="0"/>
      <w:marTop w:val="0"/>
      <w:marBottom w:val="0"/>
      <w:divBdr>
        <w:top w:val="none" w:sz="0" w:space="0" w:color="auto"/>
        <w:left w:val="none" w:sz="0" w:space="0" w:color="auto"/>
        <w:bottom w:val="none" w:sz="0" w:space="0" w:color="auto"/>
        <w:right w:val="none" w:sz="0" w:space="0" w:color="auto"/>
      </w:divBdr>
    </w:div>
    <w:div w:id="1343357483">
      <w:bodyDiv w:val="1"/>
      <w:marLeft w:val="0"/>
      <w:marRight w:val="0"/>
      <w:marTop w:val="0"/>
      <w:marBottom w:val="0"/>
      <w:divBdr>
        <w:top w:val="none" w:sz="0" w:space="0" w:color="auto"/>
        <w:left w:val="none" w:sz="0" w:space="0" w:color="auto"/>
        <w:bottom w:val="none" w:sz="0" w:space="0" w:color="auto"/>
        <w:right w:val="none" w:sz="0" w:space="0" w:color="auto"/>
      </w:divBdr>
    </w:div>
    <w:div w:id="1577670907">
      <w:bodyDiv w:val="1"/>
      <w:marLeft w:val="0"/>
      <w:marRight w:val="0"/>
      <w:marTop w:val="0"/>
      <w:marBottom w:val="0"/>
      <w:divBdr>
        <w:top w:val="none" w:sz="0" w:space="0" w:color="auto"/>
        <w:left w:val="none" w:sz="0" w:space="0" w:color="auto"/>
        <w:bottom w:val="none" w:sz="0" w:space="0" w:color="auto"/>
        <w:right w:val="none" w:sz="0" w:space="0" w:color="auto"/>
      </w:divBdr>
    </w:div>
    <w:div w:id="1614244724">
      <w:bodyDiv w:val="1"/>
      <w:marLeft w:val="0"/>
      <w:marRight w:val="0"/>
      <w:marTop w:val="0"/>
      <w:marBottom w:val="0"/>
      <w:divBdr>
        <w:top w:val="none" w:sz="0" w:space="0" w:color="auto"/>
        <w:left w:val="none" w:sz="0" w:space="0" w:color="auto"/>
        <w:bottom w:val="none" w:sz="0" w:space="0" w:color="auto"/>
        <w:right w:val="none" w:sz="0" w:space="0" w:color="auto"/>
      </w:divBdr>
    </w:div>
    <w:div w:id="1734691477">
      <w:bodyDiv w:val="1"/>
      <w:marLeft w:val="0"/>
      <w:marRight w:val="0"/>
      <w:marTop w:val="0"/>
      <w:marBottom w:val="0"/>
      <w:divBdr>
        <w:top w:val="none" w:sz="0" w:space="0" w:color="auto"/>
        <w:left w:val="none" w:sz="0" w:space="0" w:color="auto"/>
        <w:bottom w:val="none" w:sz="0" w:space="0" w:color="auto"/>
        <w:right w:val="none" w:sz="0" w:space="0" w:color="auto"/>
      </w:divBdr>
    </w:div>
    <w:div w:id="1813862538">
      <w:bodyDiv w:val="1"/>
      <w:marLeft w:val="0"/>
      <w:marRight w:val="0"/>
      <w:marTop w:val="0"/>
      <w:marBottom w:val="0"/>
      <w:divBdr>
        <w:top w:val="none" w:sz="0" w:space="0" w:color="auto"/>
        <w:left w:val="none" w:sz="0" w:space="0" w:color="auto"/>
        <w:bottom w:val="none" w:sz="0" w:space="0" w:color="auto"/>
        <w:right w:val="none" w:sz="0" w:space="0" w:color="auto"/>
      </w:divBdr>
    </w:div>
    <w:div w:id="19787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der@nuffieldbioethic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uffieldbioethics.org/topics/health-and-society/gender-ident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uffieldbioethics.org/lega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bioethics@nuffieldbioethic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der@nuffieldbioethic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E7C36EF-BB1F-47B7-89B3-E63CE4E58276}"/>
      </w:docPartPr>
      <w:docPartBody>
        <w:p w:rsidR="0096424F" w:rsidRDefault="00964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24F"/>
    <w:rsid w:val="0096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2DFEE9E9C5A46996956AFB3823531" ma:contentTypeVersion="11" ma:contentTypeDescription="Create a new document." ma:contentTypeScope="" ma:versionID="742b95848d25a0321512c0606685363d">
  <xsd:schema xmlns:xsd="http://www.w3.org/2001/XMLSchema" xmlns:xs="http://www.w3.org/2001/XMLSchema" xmlns:p="http://schemas.microsoft.com/office/2006/metadata/properties" xmlns:ns2="f33d4386-0a61-4a75-8f9f-e4284d9fd319" xmlns:ns3="fb01901e-a29a-4885-9805-59a2a22a5b2d" targetNamespace="http://schemas.microsoft.com/office/2006/metadata/properties" ma:root="true" ma:fieldsID="c815a34e05d00227851eacec0870a723" ns2:_="" ns3:_="">
    <xsd:import namespace="f33d4386-0a61-4a75-8f9f-e4284d9fd319"/>
    <xsd:import namespace="fb01901e-a29a-4885-9805-59a2a22a5b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4386-0a61-4a75-8f9f-e4284d9fd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1901e-a29a-4885-9805-59a2a22a5b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F36C1-F81D-4BCA-AC0D-9B1402784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F1CF3-2FE5-4F48-BB18-2878010CE106}">
  <ds:schemaRefs>
    <ds:schemaRef ds:uri="http://schemas.openxmlformats.org/officeDocument/2006/bibliography"/>
  </ds:schemaRefs>
</ds:datastoreItem>
</file>

<file path=customXml/itemProps3.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4.xml><?xml version="1.0" encoding="utf-8"?>
<ds:datastoreItem xmlns:ds="http://schemas.openxmlformats.org/officeDocument/2006/customXml" ds:itemID="{F33D7FC2-724A-4112-9389-D070F294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4386-0a61-4a75-8f9f-e4284d9fd319"/>
    <ds:schemaRef ds:uri="fb01901e-a29a-4885-9805-59a2a22a5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85</cp:revision>
  <dcterms:created xsi:type="dcterms:W3CDTF">2021-01-20T15:09:00Z</dcterms:created>
  <dcterms:modified xsi:type="dcterms:W3CDTF">2021-03-15T14:11:00Z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0x0101006CB2DFEE9E9C5A46996956AFB3823531</vt:lpwstr>
  </property>
</Properties>
</file>