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BECE" w14:textId="64FB6C5C" w:rsidR="0037346D" w:rsidRDefault="00FF58AB" w:rsidP="005D5D5D">
      <w:pPr>
        <w:pStyle w:val="Heading1"/>
        <w:jc w:val="center"/>
      </w:pPr>
      <w:r w:rsidRPr="003E5285">
        <w:rPr>
          <w:noProof/>
          <w:sz w:val="32"/>
          <w:szCs w:val="36"/>
        </w:rPr>
        <w:drawing>
          <wp:inline distT="0" distB="0" distL="0" distR="0" wp14:anchorId="30245ABE" wp14:editId="3512A82B">
            <wp:extent cx="1533525" cy="858736"/>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876" cy="870692"/>
                    </a:xfrm>
                    <a:prstGeom prst="rect">
                      <a:avLst/>
                    </a:prstGeom>
                    <a:noFill/>
                    <a:ln>
                      <a:noFill/>
                    </a:ln>
                  </pic:spPr>
                </pic:pic>
              </a:graphicData>
            </a:graphic>
          </wp:inline>
        </w:drawing>
      </w:r>
    </w:p>
    <w:p w14:paraId="6A2D1E5A" w14:textId="0392C64A" w:rsidR="00AE28F9" w:rsidRDefault="005D5D5D" w:rsidP="005D5D5D">
      <w:pPr>
        <w:pStyle w:val="Heading1"/>
        <w:jc w:val="center"/>
      </w:pPr>
      <w:r>
        <w:t>Invitation to tender</w:t>
      </w:r>
      <w:r w:rsidR="001E37BC">
        <w:t>:</w:t>
      </w:r>
      <w:r>
        <w:t xml:space="preserve"> deliberative </w:t>
      </w:r>
      <w:r w:rsidR="001E37BC">
        <w:t>public dialogue</w:t>
      </w:r>
    </w:p>
    <w:p w14:paraId="0D3EF37E" w14:textId="2ADF19C0" w:rsidR="005D5D5D" w:rsidRPr="00687C06" w:rsidRDefault="005D5D5D" w:rsidP="00687C06">
      <w:pPr>
        <w:pStyle w:val="Heading2"/>
      </w:pPr>
      <w:r w:rsidRPr="00687C06">
        <w:t>The future of ageing inquiry</w:t>
      </w:r>
    </w:p>
    <w:p w14:paraId="5FF24D64" w14:textId="2ABBBE09" w:rsidR="00AE28F9" w:rsidRDefault="00EC3DB9" w:rsidP="005D5D5D">
      <w:pPr>
        <w:jc w:val="center"/>
      </w:pPr>
      <w:r>
        <w:t>24</w:t>
      </w:r>
      <w:r w:rsidR="001D6A54">
        <w:t xml:space="preserve"> </w:t>
      </w:r>
      <w:r w:rsidR="00F0520E">
        <w:t>March</w:t>
      </w:r>
      <w:r w:rsidR="00904746">
        <w:t xml:space="preserve"> </w:t>
      </w:r>
      <w:r w:rsidR="005D5D5D">
        <w:t>2022</w:t>
      </w:r>
    </w:p>
    <w:p w14:paraId="5964FE96" w14:textId="77777777" w:rsidR="008606E9" w:rsidRDefault="008606E9" w:rsidP="005D5D5D">
      <w:pPr>
        <w:jc w:val="center"/>
      </w:pPr>
    </w:p>
    <w:tbl>
      <w:tblPr>
        <w:tblStyle w:val="TableGrid"/>
        <w:tblW w:w="0" w:type="auto"/>
        <w:tblBorders>
          <w:left w:val="single" w:sz="4" w:space="0" w:color="2F5496" w:themeColor="accent5" w:themeShade="BF"/>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2121"/>
        <w:gridCol w:w="6860"/>
      </w:tblGrid>
      <w:tr w:rsidR="00A177F9" w14:paraId="250E52A3" w14:textId="77777777" w:rsidTr="00A14548">
        <w:tc>
          <w:tcPr>
            <w:tcW w:w="9010" w:type="dxa"/>
            <w:gridSpan w:val="2"/>
            <w:tcBorders>
              <w:top w:val="nil"/>
              <w:left w:val="single" w:sz="36" w:space="0" w:color="4472C4" w:themeColor="accent5"/>
            </w:tcBorders>
            <w:shd w:val="clear" w:color="auto" w:fill="E7E6E6" w:themeFill="background2"/>
          </w:tcPr>
          <w:p w14:paraId="4CC7B8EE" w14:textId="00D56304" w:rsidR="00A177F9" w:rsidRPr="00A177F9" w:rsidRDefault="00A177F9" w:rsidP="00E957EA">
            <w:pPr>
              <w:spacing w:before="120" w:after="120"/>
              <w:jc w:val="left"/>
              <w:rPr>
                <w:b/>
                <w:bCs/>
              </w:rPr>
            </w:pPr>
            <w:r w:rsidRPr="00A177F9">
              <w:rPr>
                <w:b/>
                <w:bCs/>
              </w:rPr>
              <w:t>Summary</w:t>
            </w:r>
          </w:p>
        </w:tc>
      </w:tr>
      <w:tr w:rsidR="00626579" w14:paraId="6AB50805" w14:textId="77777777" w:rsidTr="00A14548">
        <w:tc>
          <w:tcPr>
            <w:tcW w:w="2122" w:type="dxa"/>
            <w:tcBorders>
              <w:top w:val="nil"/>
              <w:left w:val="single" w:sz="36" w:space="0" w:color="4472C4" w:themeColor="accent5"/>
            </w:tcBorders>
            <w:shd w:val="clear" w:color="auto" w:fill="E7E6E6" w:themeFill="background2"/>
          </w:tcPr>
          <w:p w14:paraId="12FCFF60" w14:textId="49FF2BFA" w:rsidR="00626579" w:rsidRPr="00D261E5" w:rsidRDefault="00626579" w:rsidP="00E957EA">
            <w:pPr>
              <w:spacing w:before="120" w:after="120"/>
              <w:rPr>
                <w:b/>
                <w:bCs/>
              </w:rPr>
            </w:pPr>
            <w:r w:rsidRPr="00D261E5">
              <w:rPr>
                <w:b/>
                <w:bCs/>
              </w:rPr>
              <w:t>Title of request</w:t>
            </w:r>
            <w:r w:rsidR="00BA70B6">
              <w:rPr>
                <w:b/>
                <w:bCs/>
              </w:rPr>
              <w:t>:</w:t>
            </w:r>
          </w:p>
        </w:tc>
        <w:tc>
          <w:tcPr>
            <w:tcW w:w="6888" w:type="dxa"/>
            <w:shd w:val="clear" w:color="auto" w:fill="E7E6E6" w:themeFill="background2"/>
          </w:tcPr>
          <w:p w14:paraId="0EDDB6A8" w14:textId="37A617A7" w:rsidR="00626579" w:rsidRDefault="00C11BEC" w:rsidP="00E957EA">
            <w:pPr>
              <w:spacing w:before="120" w:after="120"/>
              <w:jc w:val="left"/>
            </w:pPr>
            <w:r>
              <w:t>D</w:t>
            </w:r>
            <w:r w:rsidR="00D261E5">
              <w:t xml:space="preserve">eliberative </w:t>
            </w:r>
            <w:r w:rsidR="001E37BC">
              <w:t>public dialogue</w:t>
            </w:r>
            <w:r w:rsidR="00D261E5">
              <w:t>: the future of ageing</w:t>
            </w:r>
          </w:p>
        </w:tc>
      </w:tr>
      <w:tr w:rsidR="003E5E5E" w14:paraId="1F5E89DB" w14:textId="77777777" w:rsidTr="00A14548">
        <w:tc>
          <w:tcPr>
            <w:tcW w:w="2122" w:type="dxa"/>
            <w:tcBorders>
              <w:left w:val="single" w:sz="36" w:space="0" w:color="4472C4" w:themeColor="accent5"/>
            </w:tcBorders>
            <w:shd w:val="clear" w:color="auto" w:fill="E7E6E6" w:themeFill="background2"/>
          </w:tcPr>
          <w:p w14:paraId="080AC224" w14:textId="2C57C93D" w:rsidR="003E5E5E" w:rsidRPr="00D261E5" w:rsidRDefault="003E5E5E" w:rsidP="00E957EA">
            <w:pPr>
              <w:spacing w:before="120" w:after="120"/>
              <w:rPr>
                <w:b/>
                <w:bCs/>
              </w:rPr>
            </w:pPr>
            <w:r>
              <w:rPr>
                <w:b/>
                <w:bCs/>
              </w:rPr>
              <w:t>Commissioning body</w:t>
            </w:r>
            <w:r w:rsidR="00BA70B6">
              <w:rPr>
                <w:b/>
                <w:bCs/>
              </w:rPr>
              <w:t>:</w:t>
            </w:r>
          </w:p>
        </w:tc>
        <w:tc>
          <w:tcPr>
            <w:tcW w:w="6888" w:type="dxa"/>
            <w:shd w:val="clear" w:color="auto" w:fill="E7E6E6" w:themeFill="background2"/>
          </w:tcPr>
          <w:p w14:paraId="1FC68EBC" w14:textId="205B78E0" w:rsidR="003E5E5E" w:rsidRDefault="003E5E5E" w:rsidP="00E957EA">
            <w:pPr>
              <w:spacing w:before="120" w:after="120"/>
              <w:jc w:val="left"/>
            </w:pPr>
            <w:r>
              <w:t>Nuffield Council on Bioethics</w:t>
            </w:r>
          </w:p>
        </w:tc>
      </w:tr>
      <w:tr w:rsidR="00A14548" w14:paraId="076D336A" w14:textId="77777777" w:rsidTr="00A14548">
        <w:tc>
          <w:tcPr>
            <w:tcW w:w="2122" w:type="dxa"/>
            <w:tcBorders>
              <w:left w:val="single" w:sz="36" w:space="0" w:color="4472C4" w:themeColor="accent5"/>
            </w:tcBorders>
            <w:shd w:val="clear" w:color="auto" w:fill="E7E6E6" w:themeFill="background2"/>
          </w:tcPr>
          <w:p w14:paraId="7F886BC8" w14:textId="3129D186" w:rsidR="00A14548" w:rsidRDefault="00A14548" w:rsidP="00E957EA">
            <w:pPr>
              <w:spacing w:before="120" w:after="120"/>
              <w:rPr>
                <w:b/>
                <w:bCs/>
              </w:rPr>
            </w:pPr>
            <w:r>
              <w:rPr>
                <w:b/>
                <w:bCs/>
              </w:rPr>
              <w:t>Aim</w:t>
            </w:r>
            <w:r w:rsidR="00BA70B6">
              <w:rPr>
                <w:b/>
                <w:bCs/>
              </w:rPr>
              <w:t>:</w:t>
            </w:r>
          </w:p>
        </w:tc>
        <w:tc>
          <w:tcPr>
            <w:tcW w:w="6888" w:type="dxa"/>
            <w:shd w:val="clear" w:color="auto" w:fill="E7E6E6" w:themeFill="background2"/>
          </w:tcPr>
          <w:p w14:paraId="2F9BCF51" w14:textId="43E5605A" w:rsidR="00A14548" w:rsidRDefault="003533CD" w:rsidP="00E957EA">
            <w:pPr>
              <w:spacing w:before="120" w:after="120"/>
              <w:jc w:val="left"/>
            </w:pPr>
            <w:r>
              <w:t xml:space="preserve">To engage with members of the public </w:t>
            </w:r>
            <w:r w:rsidR="00CB1F39">
              <w:t xml:space="preserve">in </w:t>
            </w:r>
            <w:r w:rsidR="00F15C8A">
              <w:t>a</w:t>
            </w:r>
            <w:r w:rsidR="00250748">
              <w:t xml:space="preserve"> small-scale</w:t>
            </w:r>
            <w:r w:rsidR="00CB1F39">
              <w:t xml:space="preserve"> deliberative dialogue to test </w:t>
            </w:r>
            <w:r w:rsidR="00A0311A">
              <w:t xml:space="preserve">the recommendations developed by the </w:t>
            </w:r>
            <w:r w:rsidR="00F15C8A">
              <w:t xml:space="preserve">Nuffield Council on Bioethics </w:t>
            </w:r>
            <w:r w:rsidR="00BF641C">
              <w:t xml:space="preserve">and </w:t>
            </w:r>
            <w:r w:rsidR="00ED3C1C">
              <w:t xml:space="preserve">its </w:t>
            </w:r>
            <w:r w:rsidR="00BF641C">
              <w:t xml:space="preserve">working group </w:t>
            </w:r>
            <w:r w:rsidR="00D32360">
              <w:t>for</w:t>
            </w:r>
            <w:r w:rsidR="000950EF">
              <w:t xml:space="preserve"> </w:t>
            </w:r>
            <w:r w:rsidR="00F97C0C" w:rsidRPr="00F97C0C">
              <w:rPr>
                <w:i/>
                <w:iCs/>
              </w:rPr>
              <w:t>T</w:t>
            </w:r>
            <w:r w:rsidR="000950EF" w:rsidRPr="00F97C0C">
              <w:rPr>
                <w:i/>
                <w:iCs/>
              </w:rPr>
              <w:t xml:space="preserve">he </w:t>
            </w:r>
            <w:r w:rsidR="00F97C0C" w:rsidRPr="00F97C0C">
              <w:rPr>
                <w:i/>
                <w:iCs/>
              </w:rPr>
              <w:t>f</w:t>
            </w:r>
            <w:r w:rsidR="000950EF" w:rsidRPr="00F97C0C">
              <w:rPr>
                <w:i/>
                <w:iCs/>
              </w:rPr>
              <w:t>uture of ageing</w:t>
            </w:r>
            <w:r w:rsidR="000950EF">
              <w:t xml:space="preserve"> inquiry. This will </w:t>
            </w:r>
            <w:r w:rsidR="002A3A4E">
              <w:t>ensure we are advocating policy changes</w:t>
            </w:r>
            <w:r w:rsidR="00C778D3">
              <w:t xml:space="preserve"> that are ethical, rational</w:t>
            </w:r>
            <w:r w:rsidR="005D4981">
              <w:t>,</w:t>
            </w:r>
            <w:r w:rsidR="00C778D3">
              <w:t xml:space="preserve"> in</w:t>
            </w:r>
            <w:r w:rsidR="005D4981">
              <w:t xml:space="preserve">formed and inclusive of </w:t>
            </w:r>
            <w:r w:rsidR="00C778D3">
              <w:t xml:space="preserve">public views </w:t>
            </w:r>
            <w:r w:rsidR="00D32360">
              <w:t>and values.</w:t>
            </w:r>
          </w:p>
        </w:tc>
      </w:tr>
      <w:tr w:rsidR="00D261E5" w14:paraId="4393ED55" w14:textId="77777777" w:rsidTr="00A14548">
        <w:tc>
          <w:tcPr>
            <w:tcW w:w="2122" w:type="dxa"/>
            <w:tcBorders>
              <w:left w:val="single" w:sz="36" w:space="0" w:color="4472C4" w:themeColor="accent5"/>
            </w:tcBorders>
            <w:shd w:val="clear" w:color="auto" w:fill="E7E6E6" w:themeFill="background2"/>
          </w:tcPr>
          <w:p w14:paraId="7B6D7354" w14:textId="0E3C0F76" w:rsidR="00D261E5" w:rsidRDefault="00D261E5" w:rsidP="00E957EA">
            <w:pPr>
              <w:spacing w:before="120" w:after="120"/>
              <w:jc w:val="left"/>
            </w:pPr>
            <w:r w:rsidRPr="00D261E5">
              <w:rPr>
                <w:b/>
                <w:bCs/>
              </w:rPr>
              <w:t>Duration</w:t>
            </w:r>
            <w:r w:rsidR="00BA70B6">
              <w:rPr>
                <w:b/>
                <w:bCs/>
              </w:rPr>
              <w:t>:</w:t>
            </w:r>
          </w:p>
        </w:tc>
        <w:tc>
          <w:tcPr>
            <w:tcW w:w="6888" w:type="dxa"/>
            <w:shd w:val="clear" w:color="auto" w:fill="E7E6E6" w:themeFill="background2"/>
          </w:tcPr>
          <w:p w14:paraId="30EE5DDE" w14:textId="1D5B4295" w:rsidR="00D261E5" w:rsidRDefault="008009D1" w:rsidP="00E957EA">
            <w:pPr>
              <w:spacing w:before="120" w:after="120"/>
            </w:pPr>
            <w:r>
              <w:t>3 months</w:t>
            </w:r>
          </w:p>
        </w:tc>
      </w:tr>
      <w:tr w:rsidR="00D261E5" w14:paraId="1A32FE20" w14:textId="77777777" w:rsidTr="00A14548">
        <w:tc>
          <w:tcPr>
            <w:tcW w:w="2122" w:type="dxa"/>
            <w:tcBorders>
              <w:left w:val="single" w:sz="36" w:space="0" w:color="4472C4" w:themeColor="accent5"/>
            </w:tcBorders>
            <w:shd w:val="clear" w:color="auto" w:fill="E7E6E6" w:themeFill="background2"/>
          </w:tcPr>
          <w:p w14:paraId="4560234C" w14:textId="4ED64C5B" w:rsidR="00D261E5" w:rsidRPr="00D261E5" w:rsidRDefault="00916ABE" w:rsidP="00E957EA">
            <w:pPr>
              <w:spacing w:before="120" w:after="120"/>
              <w:jc w:val="left"/>
              <w:rPr>
                <w:b/>
                <w:bCs/>
              </w:rPr>
            </w:pPr>
            <w:r>
              <w:rPr>
                <w:b/>
                <w:bCs/>
              </w:rPr>
              <w:t>Key dates</w:t>
            </w:r>
            <w:r w:rsidR="00BA70B6">
              <w:rPr>
                <w:b/>
                <w:bCs/>
              </w:rPr>
              <w:t>:</w:t>
            </w:r>
          </w:p>
        </w:tc>
        <w:tc>
          <w:tcPr>
            <w:tcW w:w="6888" w:type="dxa"/>
            <w:shd w:val="clear" w:color="auto" w:fill="E7E6E6" w:themeFill="background2"/>
          </w:tcPr>
          <w:p w14:paraId="74EE66CE" w14:textId="65A40374" w:rsidR="00916ABE" w:rsidRDefault="00904746" w:rsidP="00E957EA">
            <w:pPr>
              <w:spacing w:before="120" w:after="120"/>
            </w:pPr>
            <w:r w:rsidRPr="00C954BA">
              <w:rPr>
                <w:b/>
                <w:bCs/>
                <w:color w:val="1F3864" w:themeColor="accent5" w:themeShade="80"/>
              </w:rPr>
              <w:t>Closing date for applications</w:t>
            </w:r>
            <w:r>
              <w:t xml:space="preserve">: </w:t>
            </w:r>
            <w:r w:rsidR="007F5DA6">
              <w:t>14 April</w:t>
            </w:r>
            <w:r w:rsidR="006D2EBF">
              <w:t xml:space="preserve"> </w:t>
            </w:r>
            <w:r w:rsidR="002B2A91">
              <w:t>2022</w:t>
            </w:r>
          </w:p>
          <w:p w14:paraId="3881880B" w14:textId="7B144FE9" w:rsidR="00D44280" w:rsidRDefault="00D44280" w:rsidP="00E957EA">
            <w:pPr>
              <w:spacing w:before="120" w:after="120"/>
            </w:pPr>
            <w:r w:rsidRPr="00D44280">
              <w:rPr>
                <w:b/>
                <w:bCs/>
                <w:color w:val="1F3864" w:themeColor="accent5" w:themeShade="80"/>
              </w:rPr>
              <w:t>Shortlisted contractors contacted</w:t>
            </w:r>
            <w:r>
              <w:t xml:space="preserve">: </w:t>
            </w:r>
            <w:r w:rsidR="00982066">
              <w:t>2</w:t>
            </w:r>
            <w:r>
              <w:t xml:space="preserve">1 </w:t>
            </w:r>
            <w:r w:rsidR="00FB7F77">
              <w:t xml:space="preserve">April </w:t>
            </w:r>
            <w:r>
              <w:t>2022</w:t>
            </w:r>
          </w:p>
          <w:p w14:paraId="4B0BFAB6" w14:textId="0CE45923" w:rsidR="002B2A91" w:rsidRDefault="00DD1CE3" w:rsidP="00E957EA">
            <w:pPr>
              <w:spacing w:before="120" w:after="120"/>
            </w:pPr>
            <w:r>
              <w:rPr>
                <w:b/>
                <w:bCs/>
                <w:color w:val="1F3864" w:themeColor="accent5" w:themeShade="80"/>
              </w:rPr>
              <w:t>Informal i</w:t>
            </w:r>
            <w:r w:rsidR="002B2A91" w:rsidRPr="00C954BA">
              <w:rPr>
                <w:b/>
                <w:bCs/>
                <w:color w:val="1F3864" w:themeColor="accent5" w:themeShade="80"/>
              </w:rPr>
              <w:t>nterviews</w:t>
            </w:r>
            <w:r w:rsidR="002B2A91">
              <w:t xml:space="preserve">: </w:t>
            </w:r>
            <w:r w:rsidR="00EA6DE4">
              <w:t>28</w:t>
            </w:r>
            <w:r w:rsidR="004B1ABB">
              <w:t xml:space="preserve"> April 2022</w:t>
            </w:r>
          </w:p>
          <w:p w14:paraId="25C2D977" w14:textId="15551FA4" w:rsidR="007F2A24" w:rsidRDefault="007F2A24" w:rsidP="00E957EA">
            <w:pPr>
              <w:spacing w:before="120" w:after="120"/>
            </w:pPr>
            <w:r w:rsidRPr="00C954BA">
              <w:rPr>
                <w:b/>
                <w:bCs/>
                <w:color w:val="1F3864" w:themeColor="accent5" w:themeShade="80"/>
              </w:rPr>
              <w:t>Contractor</w:t>
            </w:r>
            <w:r>
              <w:t xml:space="preserve"> </w:t>
            </w:r>
            <w:r w:rsidRPr="00C954BA">
              <w:rPr>
                <w:b/>
                <w:bCs/>
                <w:color w:val="1F3864" w:themeColor="accent5" w:themeShade="80"/>
              </w:rPr>
              <w:t>confirmed</w:t>
            </w:r>
            <w:r>
              <w:t xml:space="preserve">: </w:t>
            </w:r>
            <w:r w:rsidR="00EA6DE4">
              <w:t xml:space="preserve">29 April </w:t>
            </w:r>
            <w:r w:rsidR="004B1ABB">
              <w:t>2022</w:t>
            </w:r>
          </w:p>
          <w:p w14:paraId="43674CFB" w14:textId="5218B41A" w:rsidR="00CE186C" w:rsidRDefault="00CE186C" w:rsidP="00E957EA">
            <w:pPr>
              <w:spacing w:before="120" w:after="120"/>
            </w:pPr>
            <w:r w:rsidRPr="00964E1B">
              <w:rPr>
                <w:b/>
                <w:bCs/>
                <w:color w:val="1F3864" w:themeColor="accent5" w:themeShade="80"/>
              </w:rPr>
              <w:t>Stimulus materials provided by NCOB</w:t>
            </w:r>
            <w:r>
              <w:t xml:space="preserve">: </w:t>
            </w:r>
            <w:r w:rsidR="0043744C">
              <w:t>13 May 2022</w:t>
            </w:r>
          </w:p>
          <w:p w14:paraId="75BD83F6" w14:textId="7E605D93" w:rsidR="006A4574" w:rsidRDefault="006A4574" w:rsidP="00E957EA">
            <w:pPr>
              <w:spacing w:before="120" w:after="120"/>
            </w:pPr>
            <w:r w:rsidRPr="00C954BA">
              <w:rPr>
                <w:b/>
                <w:bCs/>
                <w:color w:val="1F3864" w:themeColor="accent5" w:themeShade="80"/>
              </w:rPr>
              <w:t>Start date</w:t>
            </w:r>
            <w:r w:rsidR="008C6277">
              <w:rPr>
                <w:b/>
                <w:bCs/>
                <w:color w:val="1F3864" w:themeColor="accent5" w:themeShade="80"/>
              </w:rPr>
              <w:t xml:space="preserve"> / inception meeting</w:t>
            </w:r>
            <w:r>
              <w:t xml:space="preserve">: </w:t>
            </w:r>
            <w:r w:rsidR="00DC4DEE">
              <w:t>20</w:t>
            </w:r>
            <w:r w:rsidR="00B42834">
              <w:t xml:space="preserve"> May </w:t>
            </w:r>
            <w:r>
              <w:t>2022</w:t>
            </w:r>
          </w:p>
          <w:p w14:paraId="5CDB246B" w14:textId="17F37E78" w:rsidR="00A1377E" w:rsidRDefault="00B36C7B" w:rsidP="00E957EA">
            <w:pPr>
              <w:spacing w:before="120" w:after="120"/>
            </w:pPr>
            <w:r>
              <w:rPr>
                <w:b/>
                <w:bCs/>
                <w:color w:val="1F3864" w:themeColor="accent5" w:themeShade="80"/>
              </w:rPr>
              <w:t>Draft report delivered</w:t>
            </w:r>
            <w:r w:rsidR="00A1377E">
              <w:t xml:space="preserve">: </w:t>
            </w:r>
            <w:r w:rsidR="00B60987">
              <w:t>19 July 2</w:t>
            </w:r>
            <w:r w:rsidR="006B1553">
              <w:t>022</w:t>
            </w:r>
          </w:p>
          <w:p w14:paraId="1436ED1C" w14:textId="503F5663" w:rsidR="00C4582C" w:rsidRDefault="00B31D9B" w:rsidP="00510B7E">
            <w:pPr>
              <w:spacing w:before="120" w:after="120"/>
            </w:pPr>
            <w:r w:rsidRPr="00C954BA">
              <w:rPr>
                <w:b/>
                <w:bCs/>
                <w:color w:val="1F3864" w:themeColor="accent5" w:themeShade="80"/>
              </w:rPr>
              <w:t>Final report delivered</w:t>
            </w:r>
            <w:r>
              <w:t xml:space="preserve">: </w:t>
            </w:r>
            <w:r w:rsidR="006E6DF2">
              <w:t>29</w:t>
            </w:r>
            <w:r w:rsidR="00C753D7">
              <w:t xml:space="preserve"> July</w:t>
            </w:r>
            <w:r w:rsidR="00A1377E">
              <w:t xml:space="preserve"> 2022</w:t>
            </w:r>
            <w:r w:rsidR="00C753D7">
              <w:t xml:space="preserve"> </w:t>
            </w:r>
          </w:p>
        </w:tc>
      </w:tr>
      <w:tr w:rsidR="001123B8" w14:paraId="07CEBEC0" w14:textId="77777777" w:rsidTr="00A14548">
        <w:tc>
          <w:tcPr>
            <w:tcW w:w="2122" w:type="dxa"/>
            <w:tcBorders>
              <w:left w:val="single" w:sz="36" w:space="0" w:color="4472C4" w:themeColor="accent5"/>
            </w:tcBorders>
            <w:shd w:val="clear" w:color="auto" w:fill="E7E6E6" w:themeFill="background2"/>
          </w:tcPr>
          <w:p w14:paraId="318AD197" w14:textId="3ECFEE8B" w:rsidR="001123B8" w:rsidRDefault="001123B8" w:rsidP="00E957EA">
            <w:pPr>
              <w:spacing w:before="120" w:after="120"/>
              <w:jc w:val="left"/>
              <w:rPr>
                <w:b/>
                <w:bCs/>
              </w:rPr>
            </w:pPr>
            <w:r>
              <w:rPr>
                <w:b/>
                <w:bCs/>
              </w:rPr>
              <w:t>Cost</w:t>
            </w:r>
            <w:r w:rsidR="00BA70B6">
              <w:rPr>
                <w:b/>
                <w:bCs/>
              </w:rPr>
              <w:t>:</w:t>
            </w:r>
          </w:p>
        </w:tc>
        <w:tc>
          <w:tcPr>
            <w:tcW w:w="6888" w:type="dxa"/>
            <w:shd w:val="clear" w:color="auto" w:fill="E7E6E6" w:themeFill="background2"/>
          </w:tcPr>
          <w:p w14:paraId="359748C0" w14:textId="42DC1997" w:rsidR="001123B8" w:rsidRDefault="001123B8" w:rsidP="00E957EA">
            <w:pPr>
              <w:spacing w:before="120" w:after="120"/>
            </w:pPr>
            <w:r>
              <w:t xml:space="preserve">Tenders are invited in the range of </w:t>
            </w:r>
            <w:r w:rsidRPr="001D6A54">
              <w:rPr>
                <w:b/>
                <w:bCs/>
                <w:color w:val="1F3864" w:themeColor="accent5" w:themeShade="80"/>
              </w:rPr>
              <w:t>£</w:t>
            </w:r>
            <w:r w:rsidR="006A6FCE">
              <w:rPr>
                <w:b/>
                <w:bCs/>
                <w:color w:val="1F3864" w:themeColor="accent5" w:themeShade="80"/>
              </w:rPr>
              <w:t>3</w:t>
            </w:r>
            <w:r w:rsidR="00C562F8">
              <w:rPr>
                <w:b/>
                <w:bCs/>
                <w:color w:val="1F3864" w:themeColor="accent5" w:themeShade="80"/>
              </w:rPr>
              <w:t>0</w:t>
            </w:r>
            <w:r w:rsidRPr="001D6A54">
              <w:rPr>
                <w:b/>
                <w:bCs/>
                <w:color w:val="1F3864" w:themeColor="accent5" w:themeShade="80"/>
              </w:rPr>
              <w:t>,000</w:t>
            </w:r>
            <w:r w:rsidR="00C562F8">
              <w:rPr>
                <w:b/>
                <w:bCs/>
                <w:color w:val="1F3864" w:themeColor="accent5" w:themeShade="80"/>
              </w:rPr>
              <w:t xml:space="preserve"> </w:t>
            </w:r>
            <w:r w:rsidR="00C562F8" w:rsidRPr="00C562F8">
              <w:t>-</w:t>
            </w:r>
            <w:r w:rsidR="00C562F8">
              <w:rPr>
                <w:b/>
                <w:bCs/>
                <w:color w:val="1F3864" w:themeColor="accent5" w:themeShade="80"/>
              </w:rPr>
              <w:t xml:space="preserve"> £35,000</w:t>
            </w:r>
          </w:p>
        </w:tc>
      </w:tr>
    </w:tbl>
    <w:p w14:paraId="1413D408" w14:textId="77777777" w:rsidR="00BA2A62" w:rsidRDefault="00BA2A62" w:rsidP="00F46EEC">
      <w:pPr>
        <w:pStyle w:val="NoSpacing"/>
        <w:numPr>
          <w:ilvl w:val="0"/>
          <w:numId w:val="0"/>
        </w:numPr>
        <w:ind w:left="357"/>
      </w:pPr>
    </w:p>
    <w:p w14:paraId="06D7BADE" w14:textId="27CA39B0" w:rsidR="00626579" w:rsidRPr="00395E9A" w:rsidRDefault="00626579" w:rsidP="00F46EEC">
      <w:pPr>
        <w:pStyle w:val="NoSpacing"/>
      </w:pPr>
      <w:r w:rsidRPr="00395E9A">
        <w:t>Introduction</w:t>
      </w:r>
    </w:p>
    <w:p w14:paraId="7919D787" w14:textId="543F253C" w:rsidR="00D01104" w:rsidRDefault="004C3921" w:rsidP="005C2F6C">
      <w:r>
        <w:t>The Nuffield Council on Bioethics</w:t>
      </w:r>
      <w:r w:rsidR="001E37BC">
        <w:t xml:space="preserve"> </w:t>
      </w:r>
      <w:r w:rsidR="00E34102">
        <w:t xml:space="preserve">(NCOB) is an independent body that informs policy and public debate on ethical issues raised </w:t>
      </w:r>
      <w:r w:rsidR="00D01104">
        <w:t xml:space="preserve">by biological and medical research. </w:t>
      </w:r>
      <w:r w:rsidR="00151FBB">
        <w:t xml:space="preserve">It is </w:t>
      </w:r>
      <w:r w:rsidR="00AF1038">
        <w:lastRenderedPageBreak/>
        <w:t xml:space="preserve">currently running a two-year inquiry on the ethical questions which arise in relation to the role of science and technology in helping people live well in older age. </w:t>
      </w:r>
    </w:p>
    <w:p w14:paraId="56B5A7A0" w14:textId="37072DEF" w:rsidR="00D71487" w:rsidRDefault="00D33FEC" w:rsidP="00D71487">
      <w:r>
        <w:t xml:space="preserve">The inquiry – titled </w:t>
      </w:r>
      <w:hyperlink r:id="rId12" w:history="1">
        <w:r w:rsidR="00F46EEC" w:rsidRPr="00F97C0C">
          <w:rPr>
            <w:rStyle w:val="Hyperlink"/>
            <w:i/>
            <w:iCs/>
          </w:rPr>
          <w:t>T</w:t>
        </w:r>
        <w:r w:rsidR="005C2F6C" w:rsidRPr="00F97C0C">
          <w:rPr>
            <w:rStyle w:val="Hyperlink"/>
            <w:i/>
            <w:iCs/>
          </w:rPr>
          <w:t>he future of ageing</w:t>
        </w:r>
      </w:hyperlink>
      <w:r>
        <w:t xml:space="preserve"> – </w:t>
      </w:r>
      <w:r w:rsidR="001C0ED1">
        <w:t>is supported by an</w:t>
      </w:r>
      <w:r w:rsidR="00D74793">
        <w:t xml:space="preserve"> interdisciplinary</w:t>
      </w:r>
      <w:r w:rsidR="001C0ED1">
        <w:t xml:space="preserve"> </w:t>
      </w:r>
      <w:hyperlink r:id="rId13" w:history="1">
        <w:r w:rsidR="00D74793" w:rsidRPr="003C0C81">
          <w:rPr>
            <w:rStyle w:val="Hyperlink"/>
          </w:rPr>
          <w:t>working group</w:t>
        </w:r>
      </w:hyperlink>
      <w:r w:rsidR="001C0ED1">
        <w:t xml:space="preserve"> who are working alongside NCOB staff to develop recommendations for policymakers and other stakeholders on the key issues addressed by the inquiry.</w:t>
      </w:r>
      <w:r w:rsidR="006E0CC9">
        <w:t xml:space="preserve"> </w:t>
      </w:r>
      <w:r w:rsidR="00E25B99" w:rsidRPr="00B71A38">
        <w:rPr>
          <w:b/>
          <w:bCs/>
        </w:rPr>
        <w:t>The purpose of the deliberative public dialogue is to test these recommendations with members of the public to ensure</w:t>
      </w:r>
      <w:r w:rsidR="005A7239">
        <w:rPr>
          <w:b/>
          <w:bCs/>
        </w:rPr>
        <w:t xml:space="preserve">, as far as possible, </w:t>
      </w:r>
      <w:r w:rsidR="00E25B99" w:rsidRPr="00B71A38">
        <w:rPr>
          <w:b/>
          <w:bCs/>
        </w:rPr>
        <w:t xml:space="preserve"> that we are </w:t>
      </w:r>
      <w:r w:rsidR="00CE18D1" w:rsidRPr="00B71A38">
        <w:rPr>
          <w:b/>
          <w:bCs/>
        </w:rPr>
        <w:t>advocating</w:t>
      </w:r>
      <w:r w:rsidR="008E0E40" w:rsidRPr="00B71A38">
        <w:rPr>
          <w:b/>
          <w:bCs/>
        </w:rPr>
        <w:t xml:space="preserve"> policy changes that are ethical, rational, </w:t>
      </w:r>
      <w:r w:rsidR="00CB3C9E" w:rsidRPr="00CB3C9E">
        <w:rPr>
          <w:b/>
          <w:bCs/>
        </w:rPr>
        <w:t>informed and inclusive of</w:t>
      </w:r>
      <w:r w:rsidR="008E0E40" w:rsidRPr="00B71A38">
        <w:rPr>
          <w:b/>
          <w:bCs/>
        </w:rPr>
        <w:t xml:space="preserve"> public </w:t>
      </w:r>
      <w:r w:rsidR="00951E8F" w:rsidRPr="00B71A38">
        <w:rPr>
          <w:b/>
          <w:bCs/>
        </w:rPr>
        <w:t>values and concerns</w:t>
      </w:r>
      <w:r w:rsidR="00951E8F">
        <w:t>.</w:t>
      </w:r>
    </w:p>
    <w:p w14:paraId="3ACC7D7F" w14:textId="4EE634E3" w:rsidR="00E97204" w:rsidRDefault="00E97204" w:rsidP="00E97204">
      <w:r>
        <w:t xml:space="preserve">The public dialogue </w:t>
      </w:r>
      <w:r w:rsidR="00E32504">
        <w:t>follow</w:t>
      </w:r>
      <w:r w:rsidR="00584AAC">
        <w:t>s</w:t>
      </w:r>
      <w:r>
        <w:t xml:space="preserve"> a </w:t>
      </w:r>
      <w:r w:rsidR="00584AAC">
        <w:t>number</w:t>
      </w:r>
      <w:r>
        <w:t xml:space="preserve"> of smaller engagement workshops designed and run by NCOB</w:t>
      </w:r>
      <w:r w:rsidR="00584AAC">
        <w:t xml:space="preserve"> and members of the working group</w:t>
      </w:r>
      <w:r>
        <w:t>. So far these have included working with</w:t>
      </w:r>
      <w:r w:rsidR="00E1224F">
        <w:t xml:space="preserve"> diverse</w:t>
      </w:r>
      <w:r>
        <w:t xml:space="preserve"> older people in Bristol, Manchester, and West Bromwich</w:t>
      </w:r>
      <w:r w:rsidR="00E1224F">
        <w:t>, including those with lived experience of racial, health and other inequalities</w:t>
      </w:r>
      <w:r>
        <w:t>. They have explored older people’s views on how health</w:t>
      </w:r>
      <w:r w:rsidR="0012311F">
        <w:t xml:space="preserve"> and wellbeing</w:t>
      </w:r>
      <w:r>
        <w:t xml:space="preserve"> technologies might, or might not, support them to live well in older age. More information on the first of these two workshops – which both used creative methods as a means of engagement – is available on our </w:t>
      </w:r>
      <w:hyperlink r:id="rId14" w:history="1">
        <w:r w:rsidRPr="00D215A4">
          <w:rPr>
            <w:rStyle w:val="Hyperlink"/>
          </w:rPr>
          <w:t>website</w:t>
        </w:r>
      </w:hyperlink>
      <w:r>
        <w:t xml:space="preserve">. </w:t>
      </w:r>
    </w:p>
    <w:p w14:paraId="230C5161" w14:textId="2867B795" w:rsidR="00E97204" w:rsidRDefault="00E97204" w:rsidP="00D71487">
      <w:r w:rsidRPr="00E9126F">
        <w:rPr>
          <w:b/>
          <w:bCs/>
        </w:rPr>
        <w:t>The deliberative public dialogue</w:t>
      </w:r>
      <w:r w:rsidR="00CB3C9E">
        <w:rPr>
          <w:b/>
          <w:bCs/>
        </w:rPr>
        <w:t xml:space="preserve"> </w:t>
      </w:r>
      <w:r w:rsidRPr="00E9126F">
        <w:rPr>
          <w:b/>
          <w:bCs/>
        </w:rPr>
        <w:t>has a broade</w:t>
      </w:r>
      <w:r w:rsidR="00CB2968">
        <w:rPr>
          <w:b/>
          <w:bCs/>
        </w:rPr>
        <w:t>r</w:t>
      </w:r>
      <w:r w:rsidRPr="00E9126F">
        <w:rPr>
          <w:b/>
          <w:bCs/>
        </w:rPr>
        <w:t xml:space="preserve"> ambition</w:t>
      </w:r>
      <w:r w:rsidR="000945C0">
        <w:rPr>
          <w:b/>
          <w:bCs/>
        </w:rPr>
        <w:t>,</w:t>
      </w:r>
      <w:r w:rsidRPr="00E9126F">
        <w:rPr>
          <w:b/>
          <w:bCs/>
        </w:rPr>
        <w:t xml:space="preserve"> which is to inform the recommendations our inquiry delivers.</w:t>
      </w:r>
    </w:p>
    <w:p w14:paraId="2A146B4D" w14:textId="1CEC7F60" w:rsidR="006C5AC3" w:rsidRDefault="006C5AC3" w:rsidP="00F46EEC">
      <w:pPr>
        <w:pStyle w:val="NoSpacing"/>
      </w:pPr>
      <w:r>
        <w:t>Background to our inquiry</w:t>
      </w:r>
      <w:r w:rsidR="00CA7EED">
        <w:t xml:space="preserve"> on ageing</w:t>
      </w:r>
    </w:p>
    <w:p w14:paraId="3193C94D" w14:textId="19BBA7A7" w:rsidR="00D70B4C" w:rsidRDefault="00F72DBD" w:rsidP="00AD711C">
      <w:r>
        <w:t>Our inquiry recognises the</w:t>
      </w:r>
      <w:r w:rsidR="00D70B4C">
        <w:t> </w:t>
      </w:r>
      <w:r w:rsidR="00AD711C">
        <w:t>increasing interest</w:t>
      </w:r>
      <w:r w:rsidR="00D70B4C">
        <w:t xml:space="preserve"> in the role that biomedical research and technological innovation can play in helping people live well in old age, and in helping society respond appropriately to the age shift in the population. Such research and innovation </w:t>
      </w:r>
      <w:r w:rsidR="00AD711C">
        <w:t>are</w:t>
      </w:r>
      <w:r w:rsidR="00D70B4C">
        <w:t xml:space="preserve"> very wide-ranging,</w:t>
      </w:r>
      <w:r w:rsidR="00AD711C">
        <w:t xml:space="preserve"> and include </w:t>
      </w:r>
      <w:r w:rsidR="00D70B4C">
        <w:t>developments in:</w:t>
      </w:r>
    </w:p>
    <w:p w14:paraId="0D9E5A0E" w14:textId="77777777" w:rsidR="00D70B4C" w:rsidRDefault="00D70B4C" w:rsidP="00D70B4C">
      <w:pPr>
        <w:numPr>
          <w:ilvl w:val="0"/>
          <w:numId w:val="11"/>
        </w:numPr>
        <w:spacing w:before="100" w:beforeAutospacing="1" w:after="100" w:afterAutospacing="1"/>
        <w:jc w:val="left"/>
        <w:rPr>
          <w:color w:val="000000"/>
        </w:rPr>
      </w:pPr>
      <w:r w:rsidRPr="008857B1">
        <w:rPr>
          <w:rStyle w:val="Strong"/>
          <w:color w:val="000000"/>
        </w:rPr>
        <w:t>geroscience research</w:t>
      </w:r>
      <w:r>
        <w:rPr>
          <w:color w:val="000000"/>
        </w:rPr>
        <w:t>, aiming to intervene in the ageing process by identifying and treating the underlying causes of biological ageing, including through a better understanding of genetic factors;</w:t>
      </w:r>
    </w:p>
    <w:p w14:paraId="0EF17EB7" w14:textId="77777777" w:rsidR="00D70B4C" w:rsidRDefault="00D70B4C" w:rsidP="00D70B4C">
      <w:pPr>
        <w:numPr>
          <w:ilvl w:val="0"/>
          <w:numId w:val="11"/>
        </w:numPr>
        <w:spacing w:before="100" w:beforeAutospacing="1" w:after="100" w:afterAutospacing="1"/>
        <w:jc w:val="left"/>
        <w:rPr>
          <w:color w:val="000000"/>
        </w:rPr>
      </w:pPr>
      <w:r w:rsidRPr="008857B1">
        <w:rPr>
          <w:rStyle w:val="Strong"/>
          <w:color w:val="000000"/>
        </w:rPr>
        <w:t>assistive and communications technologies</w:t>
      </w:r>
      <w:r>
        <w:rPr>
          <w:color w:val="000000"/>
        </w:rPr>
        <w:t> to help people to stay connected and independent for longer; and/or to provide reassurance and support for families and other carers; and</w:t>
      </w:r>
    </w:p>
    <w:p w14:paraId="6196EBB9" w14:textId="77777777" w:rsidR="00D70B4C" w:rsidRDefault="00D70B4C" w:rsidP="00D70B4C">
      <w:pPr>
        <w:numPr>
          <w:ilvl w:val="0"/>
          <w:numId w:val="11"/>
        </w:numPr>
        <w:spacing w:before="100" w:beforeAutospacing="1" w:after="100" w:afterAutospacing="1"/>
        <w:jc w:val="left"/>
        <w:rPr>
          <w:color w:val="000000"/>
        </w:rPr>
      </w:pPr>
      <w:r w:rsidRPr="008857B1">
        <w:rPr>
          <w:rStyle w:val="Strong"/>
          <w:color w:val="000000"/>
        </w:rPr>
        <w:t>innovative medical technologies</w:t>
      </w:r>
      <w:r>
        <w:rPr>
          <w:color w:val="000000"/>
        </w:rPr>
        <w:t>, including the use of AI, to support earlier diagnosis and treatment of diseases that commonly occur in older age.</w:t>
      </w:r>
    </w:p>
    <w:p w14:paraId="75DE0FB7" w14:textId="79387F4C" w:rsidR="00D70B4C" w:rsidRDefault="00D70B4C" w:rsidP="003E0705">
      <w:r>
        <w:t>Developments in these various fields offer scope for important future benefits, both for individuals and for wider society, and are currently being promoted in the UK through the</w:t>
      </w:r>
      <w:r w:rsidR="006E4E2A">
        <w:t xml:space="preserve"> </w:t>
      </w:r>
      <w:hyperlink r:id="rId15" w:history="1">
        <w:r w:rsidR="006E4E2A" w:rsidRPr="006E4E2A">
          <w:rPr>
            <w:rStyle w:val="Hyperlink"/>
          </w:rPr>
          <w:t>Ageing Society Grand Challenge</w:t>
        </w:r>
      </w:hyperlink>
      <w:r>
        <w:t>. However, they also raise significant ethical questions. These need to be considered as early as possible, to minimise the risk that unexamined assumptions and approaches to ageing are ‘baked in’ from very early in the process of research and development.</w:t>
      </w:r>
    </w:p>
    <w:p w14:paraId="630DD4D1" w14:textId="14FD7C6F" w:rsidR="00D70B4C" w:rsidRDefault="003C0C81" w:rsidP="003E0705">
      <w:r>
        <w:t>I</w:t>
      </w:r>
      <w:r w:rsidR="00D70B4C">
        <w:t>ssues of concern include:</w:t>
      </w:r>
    </w:p>
    <w:p w14:paraId="24AA4126" w14:textId="77777777" w:rsidR="00D70B4C" w:rsidRDefault="00D70B4C" w:rsidP="00D70B4C">
      <w:pPr>
        <w:numPr>
          <w:ilvl w:val="0"/>
          <w:numId w:val="12"/>
        </w:numPr>
        <w:spacing w:before="100" w:beforeAutospacing="1" w:after="100" w:afterAutospacing="1"/>
        <w:jc w:val="left"/>
        <w:rPr>
          <w:color w:val="000000"/>
        </w:rPr>
      </w:pPr>
      <w:r w:rsidRPr="004665A0">
        <w:rPr>
          <w:rStyle w:val="Strong"/>
          <w:color w:val="000000"/>
        </w:rPr>
        <w:t>how the challenges and opportunities of ageing are conceptualised</w:t>
      </w:r>
      <w:r>
        <w:rPr>
          <w:color w:val="000000"/>
        </w:rPr>
        <w:t xml:space="preserve"> – attitudes to ageing and stereotypes about ageing have a powerful influence </w:t>
      </w:r>
      <w:r>
        <w:rPr>
          <w:color w:val="000000"/>
        </w:rPr>
        <w:lastRenderedPageBreak/>
        <w:t>both on the targets of research and innovation, and on the way any innovations are likely to be designed and implemented;</w:t>
      </w:r>
    </w:p>
    <w:p w14:paraId="329225DF" w14:textId="77777777" w:rsidR="00D70B4C" w:rsidRDefault="00D70B4C" w:rsidP="00D70B4C">
      <w:pPr>
        <w:numPr>
          <w:ilvl w:val="0"/>
          <w:numId w:val="12"/>
        </w:numPr>
        <w:spacing w:before="100" w:beforeAutospacing="1" w:after="100" w:afterAutospacing="1"/>
        <w:jc w:val="left"/>
        <w:rPr>
          <w:color w:val="000000"/>
        </w:rPr>
      </w:pPr>
      <w:r w:rsidRPr="004665A0">
        <w:rPr>
          <w:rStyle w:val="Strong"/>
          <w:color w:val="000000"/>
        </w:rPr>
        <w:t>how the aims of research and innovation in this field should be prioritised</w:t>
      </w:r>
      <w:r>
        <w:rPr>
          <w:color w:val="000000"/>
        </w:rPr>
        <w:t> – who developments are aimed at, who is most likely to benefit, and who has been involved in making those decisions?</w:t>
      </w:r>
    </w:p>
    <w:p w14:paraId="2BC3B866" w14:textId="77777777" w:rsidR="00D70B4C" w:rsidRDefault="00D70B4C" w:rsidP="00D70B4C">
      <w:pPr>
        <w:numPr>
          <w:ilvl w:val="0"/>
          <w:numId w:val="12"/>
        </w:numPr>
        <w:spacing w:before="100" w:beforeAutospacing="1" w:after="100" w:afterAutospacing="1"/>
        <w:jc w:val="left"/>
        <w:rPr>
          <w:color w:val="000000"/>
        </w:rPr>
      </w:pPr>
      <w:r w:rsidRPr="004665A0">
        <w:rPr>
          <w:rStyle w:val="Strong"/>
          <w:color w:val="000000"/>
        </w:rPr>
        <w:t>ethical aspects of the design and conduct of studies</w:t>
      </w:r>
      <w:r>
        <w:rPr>
          <w:color w:val="000000"/>
        </w:rPr>
        <w:t>, including considerations of benefits and harms, inclusion and exclusion criteria for participation, and the role of diverse older people in co-design and co-production; and</w:t>
      </w:r>
    </w:p>
    <w:p w14:paraId="0E85F979" w14:textId="5A216D85" w:rsidR="00D70B4C" w:rsidRDefault="00D70B4C" w:rsidP="00D70B4C">
      <w:pPr>
        <w:numPr>
          <w:ilvl w:val="0"/>
          <w:numId w:val="12"/>
        </w:numPr>
        <w:spacing w:before="100" w:beforeAutospacing="1" w:after="100" w:afterAutospacing="1"/>
        <w:jc w:val="left"/>
        <w:rPr>
          <w:color w:val="000000"/>
        </w:rPr>
      </w:pPr>
      <w:r w:rsidRPr="004665A0">
        <w:rPr>
          <w:rStyle w:val="Strong"/>
          <w:color w:val="000000"/>
        </w:rPr>
        <w:t xml:space="preserve">how concern for equity can be </w:t>
      </w:r>
      <w:r w:rsidR="004665A0" w:rsidRPr="004665A0">
        <w:rPr>
          <w:rStyle w:val="Strong"/>
          <w:color w:val="000000"/>
        </w:rPr>
        <w:t>considered</w:t>
      </w:r>
      <w:r>
        <w:rPr>
          <w:color w:val="000000"/>
        </w:rPr>
        <w:t> throughout the research process, including with respect to access to the benefits of research and innovation.</w:t>
      </w:r>
    </w:p>
    <w:p w14:paraId="141C7A76" w14:textId="7C6C7894" w:rsidR="006545FC" w:rsidRDefault="00576203" w:rsidP="003E0705">
      <w:r w:rsidRPr="004D7341">
        <w:rPr>
          <w:b/>
          <w:bCs/>
        </w:rPr>
        <w:t>Our recommendations will aim to address these areas of concern</w:t>
      </w:r>
      <w:r>
        <w:t xml:space="preserve">, so that </w:t>
      </w:r>
      <w:r w:rsidR="00D951F4">
        <w:t xml:space="preserve">research and innovation aimed at older people’s health and wellbeing are </w:t>
      </w:r>
      <w:r w:rsidR="00C37D93">
        <w:t xml:space="preserve">approached ethically. </w:t>
      </w:r>
      <w:r w:rsidR="0052661E">
        <w:t xml:space="preserve">  </w:t>
      </w:r>
    </w:p>
    <w:p w14:paraId="3228323D" w14:textId="66141E0B" w:rsidR="00AE0B42" w:rsidRDefault="00236AC4" w:rsidP="00F46EEC">
      <w:pPr>
        <w:pStyle w:val="NoSpacing"/>
      </w:pPr>
      <w:r>
        <w:t>Objectives</w:t>
      </w:r>
    </w:p>
    <w:p w14:paraId="7B06D94C" w14:textId="398F466D" w:rsidR="00AE0B42" w:rsidRPr="00236AC4" w:rsidRDefault="00AE0B42" w:rsidP="005C2F6C">
      <w:r>
        <w:t xml:space="preserve">The aim of the </w:t>
      </w:r>
      <w:r w:rsidR="00D67D9F">
        <w:t xml:space="preserve">public dialogue is to engage </w:t>
      </w:r>
      <w:r w:rsidR="00562567">
        <w:t xml:space="preserve">with </w:t>
      </w:r>
      <w:r w:rsidR="00D67D9F">
        <w:t xml:space="preserve">a </w:t>
      </w:r>
      <w:r w:rsidR="00562567">
        <w:t xml:space="preserve">range of public voices </w:t>
      </w:r>
      <w:r w:rsidR="00D67D9F">
        <w:t xml:space="preserve">to deliberate on draft recommendations we have developed for our inquiry on the future of ageing. To fulfil this aim, </w:t>
      </w:r>
      <w:r w:rsidR="00D67D9F" w:rsidRPr="000D2512">
        <w:rPr>
          <w:b/>
          <w:bCs/>
        </w:rPr>
        <w:t xml:space="preserve">the </w:t>
      </w:r>
      <w:r w:rsidR="00FB19DD" w:rsidRPr="000D2512">
        <w:rPr>
          <w:b/>
          <w:bCs/>
        </w:rPr>
        <w:t>delivery of this dialogue is expected t</w:t>
      </w:r>
      <w:r w:rsidR="00236AC4">
        <w:rPr>
          <w:b/>
          <w:bCs/>
        </w:rPr>
        <w:t>o achieve</w:t>
      </w:r>
      <w:r w:rsidR="002959AF">
        <w:rPr>
          <w:b/>
          <w:bCs/>
        </w:rPr>
        <w:t xml:space="preserve"> three</w:t>
      </w:r>
      <w:r w:rsidR="00236AC4">
        <w:rPr>
          <w:b/>
          <w:bCs/>
        </w:rPr>
        <w:t xml:space="preserve"> objectives</w:t>
      </w:r>
      <w:r w:rsidR="00236AC4">
        <w:t>:</w:t>
      </w:r>
    </w:p>
    <w:p w14:paraId="0442A04B" w14:textId="22EC6EF7" w:rsidR="00FB19DD" w:rsidRDefault="00FB25CB" w:rsidP="00FC736E">
      <w:pPr>
        <w:pStyle w:val="ListParagraph"/>
        <w:numPr>
          <w:ilvl w:val="0"/>
          <w:numId w:val="9"/>
        </w:numPr>
      </w:pPr>
      <w:r>
        <w:t>How members of the public can h</w:t>
      </w:r>
      <w:r w:rsidR="00966019">
        <w:t xml:space="preserve">elp </w:t>
      </w:r>
      <w:r w:rsidR="00FB19DD">
        <w:t xml:space="preserve">NCOB </w:t>
      </w:r>
      <w:r w:rsidR="00FF459D">
        <w:t>gain an understanding of</w:t>
      </w:r>
      <w:r w:rsidR="00FB19DD">
        <w:t xml:space="preserve"> </w:t>
      </w:r>
      <w:r w:rsidR="00EA33E2">
        <w:t>how</w:t>
      </w:r>
      <w:r w:rsidR="00FB19DD">
        <w:t xml:space="preserve"> its </w:t>
      </w:r>
      <w:r w:rsidR="002A367E">
        <w:t xml:space="preserve">draft </w:t>
      </w:r>
      <w:r w:rsidR="00FB19DD">
        <w:t xml:space="preserve">recommendations </w:t>
      </w:r>
      <w:r w:rsidR="00936D4B">
        <w:t xml:space="preserve">are </w:t>
      </w:r>
      <w:r w:rsidR="00652257" w:rsidRPr="00652257">
        <w:t>inclusive</w:t>
      </w:r>
      <w:r w:rsidR="00652257">
        <w:rPr>
          <w:b/>
          <w:bCs/>
        </w:rPr>
        <w:t xml:space="preserve"> </w:t>
      </w:r>
      <w:r w:rsidR="00652257">
        <w:t>of</w:t>
      </w:r>
      <w:r w:rsidR="00321AEA">
        <w:t xml:space="preserve"> </w:t>
      </w:r>
      <w:r w:rsidR="00536A61">
        <w:t>public values and considerations with respect to ageing</w:t>
      </w:r>
      <w:r>
        <w:t>?</w:t>
      </w:r>
    </w:p>
    <w:p w14:paraId="08264B9F" w14:textId="50EA82CC" w:rsidR="00511B0A" w:rsidRDefault="00A00AB9" w:rsidP="00536A61">
      <w:pPr>
        <w:pStyle w:val="ListParagraph"/>
        <w:numPr>
          <w:ilvl w:val="0"/>
          <w:numId w:val="9"/>
        </w:numPr>
      </w:pPr>
      <w:r>
        <w:t xml:space="preserve">How do members of the public </w:t>
      </w:r>
      <w:r w:rsidR="00F92C8E">
        <w:t xml:space="preserve">feel the report </w:t>
      </w:r>
      <w:r w:rsidR="00123A4C">
        <w:t xml:space="preserve">recommendations could be refined and </w:t>
      </w:r>
      <w:r w:rsidR="00F46EEC">
        <w:t>developed?</w:t>
      </w:r>
    </w:p>
    <w:p w14:paraId="5D1F9595" w14:textId="3FBB0EED" w:rsidR="00536A61" w:rsidRDefault="00724914" w:rsidP="00536A61">
      <w:pPr>
        <w:pStyle w:val="ListParagraph"/>
        <w:numPr>
          <w:ilvl w:val="0"/>
          <w:numId w:val="9"/>
        </w:numPr>
      </w:pPr>
      <w:r>
        <w:t xml:space="preserve">How </w:t>
      </w:r>
      <w:r w:rsidR="00E32857">
        <w:t xml:space="preserve">do </w:t>
      </w:r>
      <w:r>
        <w:t>members of the public i</w:t>
      </w:r>
      <w:r w:rsidR="00321AEA">
        <w:t xml:space="preserve">dentify potential points of consensus and disagreement </w:t>
      </w:r>
      <w:r w:rsidR="00A377F2">
        <w:t>on</w:t>
      </w:r>
      <w:r w:rsidR="000D2512">
        <w:t xml:space="preserve"> the issues raised by our recommendations</w:t>
      </w:r>
      <w:r w:rsidR="00A377F2">
        <w:t>?</w:t>
      </w:r>
    </w:p>
    <w:p w14:paraId="3AFAB4A6" w14:textId="2B613017" w:rsidR="001B28CE" w:rsidRDefault="001B28CE" w:rsidP="00F46EEC">
      <w:pPr>
        <w:pStyle w:val="NoSpacing"/>
      </w:pPr>
      <w:r>
        <w:t>Recruitment of participants</w:t>
      </w:r>
    </w:p>
    <w:p w14:paraId="7AB8FF53" w14:textId="16F140D3" w:rsidR="001B28CE" w:rsidRDefault="001B28CE" w:rsidP="0049458D">
      <w:r>
        <w:t>Recruitment should</w:t>
      </w:r>
      <w:r w:rsidR="00A3764F">
        <w:t xml:space="preserve"> be broadly</w:t>
      </w:r>
      <w:r>
        <w:t xml:space="preserve"> </w:t>
      </w:r>
      <w:r w:rsidR="003A2592">
        <w:t>reflect</w:t>
      </w:r>
      <w:r w:rsidR="00A3764F">
        <w:t xml:space="preserve">ive of the UK </w:t>
      </w:r>
      <w:r w:rsidR="00D506E0">
        <w:t>population</w:t>
      </w:r>
      <w:r w:rsidR="008726AE">
        <w:t xml:space="preserve"> including</w:t>
      </w:r>
      <w:r w:rsidR="00A056FF">
        <w:t>:</w:t>
      </w:r>
    </w:p>
    <w:p w14:paraId="2D92DB44" w14:textId="2EEC0B8A" w:rsidR="00A056FF" w:rsidRDefault="00A056FF" w:rsidP="0049458D">
      <w:pPr>
        <w:pStyle w:val="ListParagraph"/>
        <w:numPr>
          <w:ilvl w:val="0"/>
          <w:numId w:val="14"/>
        </w:numPr>
      </w:pPr>
      <w:r>
        <w:t xml:space="preserve">Regional representation across the UK; </w:t>
      </w:r>
    </w:p>
    <w:p w14:paraId="40C1286D" w14:textId="01711EFE" w:rsidR="00A056FF" w:rsidRDefault="00A056FF" w:rsidP="0049458D">
      <w:pPr>
        <w:pStyle w:val="ListParagraph"/>
        <w:numPr>
          <w:ilvl w:val="0"/>
          <w:numId w:val="14"/>
        </w:numPr>
      </w:pPr>
      <w:r>
        <w:t>Socioeconomic, ethnic, and gender diversity;</w:t>
      </w:r>
    </w:p>
    <w:p w14:paraId="157D7F89" w14:textId="12FCDA5E" w:rsidR="00BE46B8" w:rsidRDefault="00BE46B8" w:rsidP="0049458D">
      <w:pPr>
        <w:pStyle w:val="ListParagraph"/>
        <w:numPr>
          <w:ilvl w:val="0"/>
          <w:numId w:val="14"/>
        </w:numPr>
      </w:pPr>
      <w:r>
        <w:t xml:space="preserve">Intergenerational </w:t>
      </w:r>
      <w:r w:rsidR="00710696">
        <w:t xml:space="preserve">age </w:t>
      </w:r>
      <w:r>
        <w:t>groups</w:t>
      </w:r>
      <w:r w:rsidR="009E4457">
        <w:t>;</w:t>
      </w:r>
    </w:p>
    <w:p w14:paraId="49597ABA" w14:textId="2CB69808" w:rsidR="0049458D" w:rsidRDefault="00A056FF" w:rsidP="009343A2">
      <w:pPr>
        <w:pStyle w:val="ListParagraph"/>
        <w:numPr>
          <w:ilvl w:val="0"/>
          <w:numId w:val="14"/>
        </w:numPr>
      </w:pPr>
      <w:r>
        <w:t>Representation from</w:t>
      </w:r>
      <w:r w:rsidR="00177B29">
        <w:t xml:space="preserve"> people who live in large cities, small towns, and rurally</w:t>
      </w:r>
      <w:r w:rsidR="0049458D">
        <w:t>;</w:t>
      </w:r>
      <w:r w:rsidR="009E4457">
        <w:t xml:space="preserve"> and</w:t>
      </w:r>
    </w:p>
    <w:p w14:paraId="78D76355" w14:textId="5D4CFDCB" w:rsidR="0049458D" w:rsidRDefault="0049458D" w:rsidP="009343A2">
      <w:pPr>
        <w:pStyle w:val="ListParagraph"/>
        <w:numPr>
          <w:ilvl w:val="0"/>
          <w:numId w:val="14"/>
        </w:numPr>
      </w:pPr>
      <w:r>
        <w:t>Variation in</w:t>
      </w:r>
      <w:r w:rsidR="002A47D1">
        <w:t xml:space="preserve"> </w:t>
      </w:r>
      <w:r w:rsidR="00710696">
        <w:t>people’s</w:t>
      </w:r>
      <w:r w:rsidR="002A47D1">
        <w:t xml:space="preserve"> a</w:t>
      </w:r>
      <w:r w:rsidR="008726AE">
        <w:t>ttitudes towards</w:t>
      </w:r>
      <w:r w:rsidR="002A47D1">
        <w:t xml:space="preserve"> </w:t>
      </w:r>
      <w:r w:rsidR="00AA3AB2">
        <w:t>health-focused technologies</w:t>
      </w:r>
      <w:r w:rsidR="007239D0">
        <w:t>.</w:t>
      </w:r>
      <w:r w:rsidR="00E03872">
        <w:t xml:space="preserve"> </w:t>
      </w:r>
    </w:p>
    <w:p w14:paraId="25072C0F" w14:textId="5C745D71" w:rsidR="00970EBA" w:rsidRDefault="006D314C" w:rsidP="006D314C">
      <w:pPr>
        <w:rPr>
          <w:rFonts w:eastAsia="Arial" w:cs="Arial"/>
        </w:rPr>
      </w:pPr>
      <w:r>
        <w:rPr>
          <w:rFonts w:eastAsia="Arial" w:cs="Arial"/>
        </w:rPr>
        <w:t xml:space="preserve">Contractors should describe how they will ensure that the final sample is diverse and inclusive of the categories above. Please describe the support </w:t>
      </w:r>
      <w:r w:rsidR="003E6959">
        <w:rPr>
          <w:rFonts w:eastAsia="Arial" w:cs="Arial"/>
        </w:rPr>
        <w:t>you would provide and, if necessary, how you might make technology available to those who might otherwise be digitally excluded. Please also describe how you would man</w:t>
      </w:r>
      <w:r w:rsidR="00CC6DC7">
        <w:rPr>
          <w:rFonts w:eastAsia="Arial" w:cs="Arial"/>
        </w:rPr>
        <w:t>a</w:t>
      </w:r>
      <w:r w:rsidR="003E6959">
        <w:rPr>
          <w:rFonts w:eastAsia="Arial" w:cs="Arial"/>
        </w:rPr>
        <w:t xml:space="preserve">ge to make enough time available to discuss </w:t>
      </w:r>
      <w:r w:rsidR="005C1BDF">
        <w:rPr>
          <w:rFonts w:eastAsia="Arial" w:cs="Arial"/>
        </w:rPr>
        <w:t>our draft</w:t>
      </w:r>
      <w:r w:rsidR="003E6959">
        <w:rPr>
          <w:rFonts w:eastAsia="Arial" w:cs="Arial"/>
        </w:rPr>
        <w:t xml:space="preserve"> recommendations in depth, while avoiding fatigue.</w:t>
      </w:r>
      <w:r w:rsidR="00AE6D24">
        <w:rPr>
          <w:rFonts w:eastAsia="Arial" w:cs="Arial"/>
        </w:rPr>
        <w:t xml:space="preserve"> </w:t>
      </w:r>
    </w:p>
    <w:p w14:paraId="5B28FA70" w14:textId="5C9C84F5" w:rsidR="00970EBA" w:rsidRDefault="00970EBA" w:rsidP="006D314C">
      <w:pPr>
        <w:rPr>
          <w:rFonts w:eastAsia="Arial" w:cs="Arial"/>
        </w:rPr>
      </w:pPr>
      <w:r>
        <w:rPr>
          <w:rFonts w:eastAsia="Arial" w:cs="Arial"/>
        </w:rPr>
        <w:t>Contractors should set out what the optimum number of participants should be, given the budget and focus of the dialogue.</w:t>
      </w:r>
    </w:p>
    <w:p w14:paraId="5D6643F4" w14:textId="71DE5D02" w:rsidR="00397905" w:rsidRDefault="00397905" w:rsidP="00397905">
      <w:pPr>
        <w:rPr>
          <w:rFonts w:eastAsia="Arial" w:cs="Arial"/>
        </w:rPr>
      </w:pPr>
      <w:r w:rsidRPr="00A936A3">
        <w:rPr>
          <w:rFonts w:eastAsia="Arial" w:cs="Arial"/>
        </w:rPr>
        <w:lastRenderedPageBreak/>
        <w:t xml:space="preserve">Participant recruitment strategies and the design of the dialogue should be mindful of the ways in which the pandemic has affected people, so that we are still able to include and hear from people who may have reduced personal availability in this period. </w:t>
      </w:r>
    </w:p>
    <w:p w14:paraId="46146CA1" w14:textId="679C27F2" w:rsidR="009E1AAC" w:rsidRDefault="009E1AAC" w:rsidP="00F46EEC">
      <w:pPr>
        <w:pStyle w:val="NoSpacing"/>
      </w:pPr>
      <w:r>
        <w:t>Deliverables</w:t>
      </w:r>
    </w:p>
    <w:p w14:paraId="6FAEFB0E" w14:textId="05F47F60" w:rsidR="008C4641" w:rsidRDefault="006D314C" w:rsidP="00397905">
      <w:pPr>
        <w:rPr>
          <w:rFonts w:eastAsia="Arial" w:cs="Arial"/>
        </w:rPr>
      </w:pPr>
      <w:r>
        <w:rPr>
          <w:rFonts w:eastAsia="Arial" w:cs="Arial"/>
        </w:rPr>
        <w:t xml:space="preserve">Contractors should describe </w:t>
      </w:r>
      <w:r w:rsidR="001361DE">
        <w:rPr>
          <w:rFonts w:eastAsia="Arial" w:cs="Arial"/>
        </w:rPr>
        <w:t>their approach for delivering the following:</w:t>
      </w:r>
    </w:p>
    <w:p w14:paraId="66C73BA7" w14:textId="12A281F3" w:rsidR="006106C1" w:rsidRDefault="00230E26" w:rsidP="00230E26">
      <w:pPr>
        <w:pStyle w:val="ListParagraph"/>
        <w:numPr>
          <w:ilvl w:val="0"/>
          <w:numId w:val="15"/>
        </w:numPr>
        <w:rPr>
          <w:rFonts w:eastAsia="Arial" w:cs="Arial"/>
        </w:rPr>
      </w:pPr>
      <w:r w:rsidRPr="00230E26">
        <w:rPr>
          <w:rFonts w:eastAsia="Arial" w:cs="Arial"/>
        </w:rPr>
        <w:t>Dialogue process and materials</w:t>
      </w:r>
    </w:p>
    <w:p w14:paraId="7CC42393" w14:textId="49EE8FDD" w:rsidR="00FF2A82" w:rsidRDefault="00FF2A82" w:rsidP="00230E26">
      <w:pPr>
        <w:pStyle w:val="ListParagraph"/>
        <w:numPr>
          <w:ilvl w:val="0"/>
          <w:numId w:val="15"/>
        </w:numPr>
        <w:rPr>
          <w:rFonts w:eastAsia="Arial" w:cs="Arial"/>
        </w:rPr>
      </w:pPr>
      <w:r>
        <w:rPr>
          <w:rFonts w:eastAsia="Arial" w:cs="Arial"/>
        </w:rPr>
        <w:t>Expert facilitation of the</w:t>
      </w:r>
      <w:r w:rsidR="00D45B69">
        <w:rPr>
          <w:rFonts w:eastAsia="Arial" w:cs="Arial"/>
        </w:rPr>
        <w:t xml:space="preserve"> dialogue</w:t>
      </w:r>
    </w:p>
    <w:p w14:paraId="7D7A7F73" w14:textId="054284F0" w:rsidR="008C4641" w:rsidRPr="00230E26" w:rsidRDefault="008C4641" w:rsidP="00230E26">
      <w:pPr>
        <w:pStyle w:val="ListParagraph"/>
        <w:numPr>
          <w:ilvl w:val="0"/>
          <w:numId w:val="15"/>
        </w:numPr>
        <w:rPr>
          <w:rFonts w:eastAsia="Arial" w:cs="Arial"/>
        </w:rPr>
      </w:pPr>
      <w:r>
        <w:rPr>
          <w:rFonts w:eastAsia="Arial" w:cs="Arial"/>
        </w:rPr>
        <w:t>Demographic information about participants to monitor diversity</w:t>
      </w:r>
    </w:p>
    <w:p w14:paraId="20B90910" w14:textId="0D57BA1E" w:rsidR="00230E26" w:rsidRDefault="00230E26" w:rsidP="00230E26">
      <w:pPr>
        <w:pStyle w:val="ListParagraph"/>
        <w:numPr>
          <w:ilvl w:val="0"/>
          <w:numId w:val="15"/>
        </w:numPr>
        <w:rPr>
          <w:rFonts w:eastAsia="Arial" w:cs="Arial"/>
        </w:rPr>
      </w:pPr>
      <w:r w:rsidRPr="00230E26">
        <w:rPr>
          <w:rFonts w:eastAsia="Arial" w:cs="Arial"/>
        </w:rPr>
        <w:t xml:space="preserve">Participation in </w:t>
      </w:r>
      <w:r w:rsidR="00E32857">
        <w:rPr>
          <w:rFonts w:eastAsia="Arial" w:cs="Arial"/>
        </w:rPr>
        <w:t>regular</w:t>
      </w:r>
      <w:r w:rsidRPr="00230E26">
        <w:rPr>
          <w:rFonts w:eastAsia="Arial" w:cs="Arial"/>
        </w:rPr>
        <w:t xml:space="preserve"> project team meetings (with </w:t>
      </w:r>
      <w:r w:rsidR="000C6DAB">
        <w:rPr>
          <w:rFonts w:eastAsia="Arial" w:cs="Arial"/>
        </w:rPr>
        <w:t>1-2</w:t>
      </w:r>
      <w:r w:rsidR="0083486C">
        <w:rPr>
          <w:rFonts w:eastAsia="Arial" w:cs="Arial"/>
        </w:rPr>
        <w:t xml:space="preserve"> </w:t>
      </w:r>
      <w:r w:rsidRPr="00230E26">
        <w:rPr>
          <w:rFonts w:eastAsia="Arial" w:cs="Arial"/>
        </w:rPr>
        <w:t xml:space="preserve">NCOB staff </w:t>
      </w:r>
      <w:r w:rsidR="0083486C">
        <w:rPr>
          <w:rFonts w:eastAsia="Arial" w:cs="Arial"/>
        </w:rPr>
        <w:t>a</w:t>
      </w:r>
      <w:r w:rsidR="0083486C" w:rsidRPr="0083486C">
        <w:rPr>
          <w:rFonts w:eastAsia="Arial" w:cs="Arial"/>
        </w:rPr>
        <w:t xml:space="preserve">nd </w:t>
      </w:r>
      <w:r w:rsidRPr="0083486C">
        <w:rPr>
          <w:rFonts w:eastAsia="Arial" w:cs="Arial"/>
        </w:rPr>
        <w:t>working group members)</w:t>
      </w:r>
    </w:p>
    <w:p w14:paraId="4787EC99" w14:textId="7D9D90CE" w:rsidR="00230E26" w:rsidRDefault="00303E6B" w:rsidP="00230E26">
      <w:pPr>
        <w:pStyle w:val="ListParagraph"/>
        <w:numPr>
          <w:ilvl w:val="0"/>
          <w:numId w:val="15"/>
        </w:numPr>
        <w:rPr>
          <w:rFonts w:eastAsia="Arial" w:cs="Arial"/>
        </w:rPr>
      </w:pPr>
      <w:r>
        <w:rPr>
          <w:rFonts w:eastAsia="Arial" w:cs="Arial"/>
        </w:rPr>
        <w:t xml:space="preserve">Quality assured final report with </w:t>
      </w:r>
      <w:r w:rsidR="00957F26">
        <w:rPr>
          <w:rFonts w:eastAsia="Arial" w:cs="Arial"/>
        </w:rPr>
        <w:t xml:space="preserve">at least </w:t>
      </w:r>
      <w:r>
        <w:rPr>
          <w:rFonts w:eastAsia="Arial" w:cs="Arial"/>
        </w:rPr>
        <w:t>one draft and one comment round</w:t>
      </w:r>
    </w:p>
    <w:p w14:paraId="78654A24" w14:textId="4F2B5E61" w:rsidR="00303E6B" w:rsidRDefault="00C30A1F" w:rsidP="00230E26">
      <w:pPr>
        <w:pStyle w:val="ListParagraph"/>
        <w:numPr>
          <w:ilvl w:val="0"/>
          <w:numId w:val="15"/>
        </w:numPr>
        <w:rPr>
          <w:rFonts w:eastAsia="Arial" w:cs="Arial"/>
        </w:rPr>
      </w:pPr>
      <w:r>
        <w:rPr>
          <w:rFonts w:eastAsia="Arial" w:cs="Arial"/>
        </w:rPr>
        <w:t>PowerPoint slides summarising key findings</w:t>
      </w:r>
    </w:p>
    <w:p w14:paraId="538F3CCA" w14:textId="2601E58C" w:rsidR="00C30A1F" w:rsidRDefault="00C30A1F" w:rsidP="00230E26">
      <w:pPr>
        <w:pStyle w:val="ListParagraph"/>
        <w:numPr>
          <w:ilvl w:val="0"/>
          <w:numId w:val="15"/>
        </w:numPr>
        <w:rPr>
          <w:rFonts w:eastAsia="Arial" w:cs="Arial"/>
        </w:rPr>
      </w:pPr>
      <w:r>
        <w:rPr>
          <w:rFonts w:eastAsia="Arial" w:cs="Arial"/>
        </w:rPr>
        <w:t>Visual presentation of the findings, such as infographics and quotes</w:t>
      </w:r>
    </w:p>
    <w:p w14:paraId="0F10D3E9" w14:textId="68D0D4E9" w:rsidR="00C30A1F" w:rsidRDefault="00C30A1F" w:rsidP="00230E26">
      <w:pPr>
        <w:pStyle w:val="ListParagraph"/>
        <w:numPr>
          <w:ilvl w:val="0"/>
          <w:numId w:val="15"/>
        </w:numPr>
        <w:rPr>
          <w:rFonts w:eastAsia="Arial" w:cs="Arial"/>
        </w:rPr>
      </w:pPr>
      <w:r>
        <w:rPr>
          <w:rFonts w:eastAsia="Arial" w:cs="Arial"/>
        </w:rPr>
        <w:t xml:space="preserve">Media </w:t>
      </w:r>
      <w:r w:rsidR="00BD63E6">
        <w:rPr>
          <w:rFonts w:eastAsia="Arial" w:cs="Arial"/>
        </w:rPr>
        <w:t>related to public dialogue activities, including photos and videos</w:t>
      </w:r>
    </w:p>
    <w:p w14:paraId="659C4865" w14:textId="6C413FA8" w:rsidR="0018038D" w:rsidRDefault="0018038D" w:rsidP="00230E26">
      <w:pPr>
        <w:pStyle w:val="ListParagraph"/>
        <w:numPr>
          <w:ilvl w:val="0"/>
          <w:numId w:val="15"/>
        </w:numPr>
        <w:rPr>
          <w:rFonts w:eastAsia="Arial" w:cs="Arial"/>
        </w:rPr>
      </w:pPr>
      <w:r>
        <w:rPr>
          <w:rFonts w:eastAsia="Arial" w:cs="Arial"/>
        </w:rPr>
        <w:t>Willingness to attend and be involved in the launch event of NCOB’s inquiry report</w:t>
      </w:r>
    </w:p>
    <w:p w14:paraId="56B6E83B" w14:textId="2036D3BC" w:rsidR="000154D9" w:rsidRPr="000154D9" w:rsidRDefault="000154D9" w:rsidP="000154D9">
      <w:pPr>
        <w:rPr>
          <w:rFonts w:eastAsia="Arial" w:cs="Arial"/>
        </w:rPr>
      </w:pPr>
      <w:r>
        <w:rPr>
          <w:rFonts w:eastAsia="Arial" w:cs="Arial"/>
        </w:rPr>
        <w:t xml:space="preserve">We would like the final report </w:t>
      </w:r>
      <w:r w:rsidR="00714C90">
        <w:rPr>
          <w:rFonts w:eastAsia="Arial" w:cs="Arial"/>
        </w:rPr>
        <w:t xml:space="preserve">to have a </w:t>
      </w:r>
      <w:r w:rsidR="00714C90" w:rsidRPr="00441633">
        <w:rPr>
          <w:rFonts w:eastAsia="Arial" w:cs="Arial"/>
          <w:b/>
          <w:bCs/>
        </w:rPr>
        <w:t>creative elemen</w:t>
      </w:r>
      <w:r w:rsidR="00962020" w:rsidRPr="00441633">
        <w:rPr>
          <w:rFonts w:eastAsia="Arial" w:cs="Arial"/>
          <w:b/>
          <w:bCs/>
        </w:rPr>
        <w:t>t</w:t>
      </w:r>
      <w:r w:rsidR="0070164D" w:rsidRPr="00441633">
        <w:rPr>
          <w:rFonts w:eastAsia="Arial" w:cs="Arial"/>
        </w:rPr>
        <w:t xml:space="preserve"> </w:t>
      </w:r>
      <w:r w:rsidR="0070164D">
        <w:rPr>
          <w:rFonts w:eastAsia="Arial" w:cs="Arial"/>
        </w:rPr>
        <w:t>so that it’s engaging for the reader</w:t>
      </w:r>
      <w:r w:rsidR="002A2659">
        <w:rPr>
          <w:rFonts w:eastAsia="Arial" w:cs="Arial"/>
        </w:rPr>
        <w:t>.</w:t>
      </w:r>
      <w:r w:rsidR="006A602E">
        <w:rPr>
          <w:rFonts w:eastAsia="Arial" w:cs="Arial"/>
        </w:rPr>
        <w:t xml:space="preserve"> </w:t>
      </w:r>
      <w:r w:rsidR="002A2659">
        <w:rPr>
          <w:rFonts w:eastAsia="Arial" w:cs="Arial"/>
        </w:rPr>
        <w:t>T</w:t>
      </w:r>
      <w:r w:rsidR="006A602E">
        <w:rPr>
          <w:rFonts w:eastAsia="Arial" w:cs="Arial"/>
        </w:rPr>
        <w:t xml:space="preserve">his could include, for example, </w:t>
      </w:r>
      <w:r w:rsidR="002D0892">
        <w:rPr>
          <w:rFonts w:eastAsia="Arial" w:cs="Arial"/>
        </w:rPr>
        <w:t>infographic</w:t>
      </w:r>
      <w:r w:rsidR="00652257">
        <w:rPr>
          <w:rFonts w:eastAsia="Arial" w:cs="Arial"/>
        </w:rPr>
        <w:t>s</w:t>
      </w:r>
      <w:r w:rsidR="0080684D">
        <w:rPr>
          <w:rFonts w:eastAsia="Arial" w:cs="Arial"/>
        </w:rPr>
        <w:t>.</w:t>
      </w:r>
      <w:r w:rsidR="000B7543">
        <w:rPr>
          <w:rFonts w:eastAsia="Arial" w:cs="Arial"/>
        </w:rPr>
        <w:t xml:space="preserve"> Contractors should describe</w:t>
      </w:r>
      <w:r w:rsidR="00767226">
        <w:rPr>
          <w:rFonts w:eastAsia="Arial" w:cs="Arial"/>
        </w:rPr>
        <w:t xml:space="preserve"> </w:t>
      </w:r>
      <w:r w:rsidR="005D6004">
        <w:rPr>
          <w:rFonts w:eastAsia="Arial" w:cs="Arial"/>
        </w:rPr>
        <w:t>a plan as</w:t>
      </w:r>
      <w:r w:rsidR="00CC72ED">
        <w:rPr>
          <w:rFonts w:eastAsia="Arial" w:cs="Arial"/>
        </w:rPr>
        <w:t xml:space="preserve"> to</w:t>
      </w:r>
      <w:r w:rsidR="005D6004">
        <w:rPr>
          <w:rFonts w:eastAsia="Arial" w:cs="Arial"/>
        </w:rPr>
        <w:t xml:space="preserve"> </w:t>
      </w:r>
      <w:r w:rsidR="00EF3420">
        <w:rPr>
          <w:rFonts w:eastAsia="Arial" w:cs="Arial"/>
        </w:rPr>
        <w:t xml:space="preserve">how </w:t>
      </w:r>
      <w:r w:rsidR="005D6004">
        <w:rPr>
          <w:rFonts w:eastAsia="Arial" w:cs="Arial"/>
        </w:rPr>
        <w:t xml:space="preserve">they would </w:t>
      </w:r>
      <w:r w:rsidR="00C3494C">
        <w:rPr>
          <w:rFonts w:eastAsia="Arial" w:cs="Arial"/>
        </w:rPr>
        <w:t xml:space="preserve">produce a creative </w:t>
      </w:r>
      <w:r w:rsidR="00AC446E">
        <w:rPr>
          <w:rFonts w:eastAsia="Arial" w:cs="Arial"/>
        </w:rPr>
        <w:t>final report</w:t>
      </w:r>
      <w:r w:rsidR="00C3494C">
        <w:rPr>
          <w:rFonts w:eastAsia="Arial" w:cs="Arial"/>
        </w:rPr>
        <w:t xml:space="preserve"> with potential mixed media reporting elements.</w:t>
      </w:r>
    </w:p>
    <w:p w14:paraId="4E2BFA47" w14:textId="67EE37ED" w:rsidR="00D32F86" w:rsidRPr="00D32F86" w:rsidRDefault="00D32F86" w:rsidP="00F46EEC">
      <w:pPr>
        <w:pStyle w:val="NoSpacing"/>
      </w:pPr>
      <w:r w:rsidRPr="00D32F86">
        <w:t>Dialogue design</w:t>
      </w:r>
    </w:p>
    <w:p w14:paraId="2B881D1C" w14:textId="1A43CA22" w:rsidR="00D32F86" w:rsidRDefault="00D32F86" w:rsidP="00D32F86">
      <w:pPr>
        <w:rPr>
          <w:rFonts w:eastAsia="Arial" w:cs="Arial"/>
        </w:rPr>
      </w:pPr>
      <w:r w:rsidRPr="00D32F86">
        <w:rPr>
          <w:rFonts w:eastAsia="Arial" w:cs="Arial"/>
        </w:rPr>
        <w:t xml:space="preserve">This specification does not provide a detailed design or methodology. </w:t>
      </w:r>
      <w:r w:rsidR="00E57DC9">
        <w:rPr>
          <w:rFonts w:eastAsia="Arial" w:cs="Arial"/>
        </w:rPr>
        <w:t xml:space="preserve">We are open to carrying out the public dialogue either online or face-to-face. Contractors </w:t>
      </w:r>
      <w:r w:rsidRPr="00D32F86">
        <w:rPr>
          <w:rFonts w:eastAsia="Arial" w:cs="Arial"/>
        </w:rPr>
        <w:t>should propose an appropriate programme for development, delivery, and reporting to meet the objectives within the given timeframe</w:t>
      </w:r>
      <w:r w:rsidR="009D4975">
        <w:rPr>
          <w:rFonts w:eastAsia="Arial" w:cs="Arial"/>
        </w:rPr>
        <w:t>, and to meet a budget of approximately £</w:t>
      </w:r>
      <w:r w:rsidR="009F5FDD">
        <w:rPr>
          <w:rFonts w:eastAsia="Arial" w:cs="Arial"/>
        </w:rPr>
        <w:t>3</w:t>
      </w:r>
      <w:r w:rsidR="00C562F8">
        <w:rPr>
          <w:rFonts w:eastAsia="Arial" w:cs="Arial"/>
        </w:rPr>
        <w:t>0</w:t>
      </w:r>
      <w:r w:rsidR="009D4975">
        <w:rPr>
          <w:rFonts w:eastAsia="Arial" w:cs="Arial"/>
        </w:rPr>
        <w:t>,000</w:t>
      </w:r>
      <w:r w:rsidR="00C562F8">
        <w:rPr>
          <w:rFonts w:eastAsia="Arial" w:cs="Arial"/>
        </w:rPr>
        <w:t xml:space="preserve"> - £35,000. </w:t>
      </w:r>
      <w:r w:rsidR="00DC069B">
        <w:rPr>
          <w:rFonts w:eastAsia="Arial" w:cs="Arial"/>
        </w:rPr>
        <w:t xml:space="preserve">Please </w:t>
      </w:r>
      <w:r w:rsidR="004F7BEF">
        <w:rPr>
          <w:rFonts w:eastAsia="Arial" w:cs="Arial"/>
        </w:rPr>
        <w:t>describe which method</w:t>
      </w:r>
      <w:r w:rsidR="00036164">
        <w:rPr>
          <w:rFonts w:eastAsia="Arial" w:cs="Arial"/>
        </w:rPr>
        <w:t xml:space="preserve">, either face-to-face or online, would be the preference </w:t>
      </w:r>
      <w:r w:rsidR="00C231E9">
        <w:rPr>
          <w:rFonts w:eastAsia="Arial" w:cs="Arial"/>
        </w:rPr>
        <w:t xml:space="preserve">for carrying out the public dialogue </w:t>
      </w:r>
      <w:r w:rsidR="00036164">
        <w:rPr>
          <w:rFonts w:eastAsia="Arial" w:cs="Arial"/>
        </w:rPr>
        <w:t>and explain the reasons why.</w:t>
      </w:r>
    </w:p>
    <w:p w14:paraId="021E8C22" w14:textId="255EBA3F" w:rsidR="005624DD" w:rsidRDefault="005624DD" w:rsidP="00D32F86">
      <w:pPr>
        <w:rPr>
          <w:rFonts w:eastAsia="Arial" w:cs="Arial"/>
        </w:rPr>
      </w:pPr>
      <w:r>
        <w:rPr>
          <w:rFonts w:eastAsia="Arial" w:cs="Arial"/>
        </w:rPr>
        <w:t xml:space="preserve">NCOB will supply its draft recommendations on the appointment of the contractor on </w:t>
      </w:r>
      <w:r w:rsidR="0043744C">
        <w:rPr>
          <w:rFonts w:eastAsia="Arial" w:cs="Arial"/>
          <w:b/>
          <w:bCs/>
          <w:color w:val="1F3864" w:themeColor="accent5" w:themeShade="80"/>
        </w:rPr>
        <w:t>13 May</w:t>
      </w:r>
      <w:r w:rsidR="00B9355C">
        <w:rPr>
          <w:rFonts w:eastAsia="Arial" w:cs="Arial"/>
          <w:b/>
          <w:bCs/>
          <w:color w:val="1F3864" w:themeColor="accent5" w:themeShade="80"/>
        </w:rPr>
        <w:t xml:space="preserve"> 2022</w:t>
      </w:r>
      <w:r>
        <w:rPr>
          <w:rFonts w:eastAsia="Arial" w:cs="Arial"/>
        </w:rPr>
        <w:t>.</w:t>
      </w:r>
    </w:p>
    <w:p w14:paraId="4A49C564" w14:textId="50710347" w:rsidR="00D162E8" w:rsidRPr="00D32F86" w:rsidRDefault="00D162E8" w:rsidP="00D32F86">
      <w:pPr>
        <w:rPr>
          <w:rFonts w:eastAsia="Arial" w:cs="Arial"/>
        </w:rPr>
      </w:pPr>
      <w:r>
        <w:rPr>
          <w:rFonts w:eastAsia="Arial" w:cs="Arial"/>
        </w:rPr>
        <w:t>For further information on the focus and approach of NCOB recommendations for previous inquiries, see our</w:t>
      </w:r>
      <w:r w:rsidR="00476C74">
        <w:rPr>
          <w:rFonts w:eastAsia="Arial" w:cs="Arial"/>
        </w:rPr>
        <w:t xml:space="preserve"> in-depth reports on our </w:t>
      </w:r>
      <w:hyperlink r:id="rId16" w:history="1">
        <w:r w:rsidRPr="00476C74">
          <w:rPr>
            <w:rStyle w:val="Hyperlink"/>
            <w:rFonts w:eastAsia="Arial" w:cs="Arial"/>
          </w:rPr>
          <w:t>website</w:t>
        </w:r>
      </w:hyperlink>
      <w:r>
        <w:rPr>
          <w:rFonts w:eastAsia="Arial" w:cs="Arial"/>
        </w:rPr>
        <w:t xml:space="preserve">. </w:t>
      </w:r>
    </w:p>
    <w:p w14:paraId="3B608532" w14:textId="1628EC37" w:rsidR="007632F1" w:rsidRDefault="007632F1" w:rsidP="00F46EEC">
      <w:pPr>
        <w:pStyle w:val="NoSpacing"/>
      </w:pPr>
      <w:r>
        <w:t>Media activities</w:t>
      </w:r>
    </w:p>
    <w:p w14:paraId="6E3D5273" w14:textId="302F1C39" w:rsidR="00654A22" w:rsidRDefault="006B387D" w:rsidP="007632F1">
      <w:r>
        <w:t xml:space="preserve">We will communicate the outputs of the dialogue widely to stakeholders, policymakers, and the public. </w:t>
      </w:r>
      <w:r w:rsidR="006D75D2">
        <w:t xml:space="preserve">Media activities </w:t>
      </w:r>
      <w:r w:rsidR="00330A73">
        <w:t xml:space="preserve">are likely to include a press release announcing the start of the </w:t>
      </w:r>
      <w:r w:rsidR="00B416B2">
        <w:t xml:space="preserve">dialogue project, and updates about the appointment of the successful contractor before the dialogue activities take place. These developments will be reported across NCOB’s website, newsletter, and social media accounts. </w:t>
      </w:r>
    </w:p>
    <w:p w14:paraId="6169E4ED" w14:textId="725BB793" w:rsidR="00BB36BD" w:rsidRDefault="00AC2632" w:rsidP="007632F1">
      <w:r>
        <w:t xml:space="preserve">However, </w:t>
      </w:r>
      <w:r w:rsidR="00312B77">
        <w:t xml:space="preserve">media activities to highlight the findings of the dialogue </w:t>
      </w:r>
      <w:r w:rsidR="00C11B43">
        <w:t>are unlikely</w:t>
      </w:r>
      <w:r w:rsidR="00312B77">
        <w:t xml:space="preserve"> </w:t>
      </w:r>
      <w:r w:rsidR="00441633">
        <w:t xml:space="preserve">to </w:t>
      </w:r>
      <w:r w:rsidR="00312B77">
        <w:t xml:space="preserve">take place until </w:t>
      </w:r>
      <w:r w:rsidR="00584E88" w:rsidRPr="00BB36BD">
        <w:rPr>
          <w:i/>
          <w:iCs/>
        </w:rPr>
        <w:t>after</w:t>
      </w:r>
      <w:r w:rsidR="00584E88">
        <w:t xml:space="preserve"> </w:t>
      </w:r>
      <w:r w:rsidR="00312B77">
        <w:t>NCOB’s inquiry report is launched</w:t>
      </w:r>
      <w:r w:rsidR="00A50837">
        <w:t xml:space="preserve"> at the end of 2022.</w:t>
      </w:r>
      <w:r w:rsidR="00312B77">
        <w:t xml:space="preserve"> </w:t>
      </w:r>
      <w:r w:rsidR="00BB36BD">
        <w:t xml:space="preserve">It is therefore important that </w:t>
      </w:r>
      <w:r w:rsidR="00A50837">
        <w:t xml:space="preserve">the report of the dialogue remains confidential until that point. </w:t>
      </w:r>
    </w:p>
    <w:p w14:paraId="424EA92F" w14:textId="2455B22A" w:rsidR="008618B2" w:rsidRDefault="008618B2" w:rsidP="00F46EEC">
      <w:pPr>
        <w:pStyle w:val="NoSpacing"/>
      </w:pPr>
      <w:r>
        <w:lastRenderedPageBreak/>
        <w:t xml:space="preserve">Publication of </w:t>
      </w:r>
      <w:r w:rsidR="00F51424">
        <w:t>written materials</w:t>
      </w:r>
    </w:p>
    <w:p w14:paraId="5011F5BF" w14:textId="4A44D233" w:rsidR="008618B2" w:rsidRDefault="008618B2" w:rsidP="007632F1">
      <w:r>
        <w:t xml:space="preserve">All </w:t>
      </w:r>
      <w:r w:rsidR="00F51424">
        <w:t xml:space="preserve">written </w:t>
      </w:r>
      <w:r>
        <w:t xml:space="preserve">materials generated </w:t>
      </w:r>
      <w:r w:rsidR="006F3911">
        <w:t>during</w:t>
      </w:r>
      <w:r>
        <w:t xml:space="preserve"> the dialogue project will be published on NCOB’s website. We expect that the contractors will do the same on their website. </w:t>
      </w:r>
    </w:p>
    <w:p w14:paraId="4559E06D" w14:textId="1EFCF464" w:rsidR="007632F1" w:rsidRDefault="007632F1" w:rsidP="00F46EEC">
      <w:pPr>
        <w:pStyle w:val="NoSpacing"/>
      </w:pPr>
      <w:r>
        <w:t>Evaluation</w:t>
      </w:r>
    </w:p>
    <w:p w14:paraId="32E24144" w14:textId="39DB5944" w:rsidR="007632F1" w:rsidRDefault="007632F1" w:rsidP="007632F1">
      <w:r>
        <w:t xml:space="preserve">NCOB will undertake an in-house evaluation of the </w:t>
      </w:r>
      <w:r w:rsidR="00D402DC">
        <w:t xml:space="preserve">dialogue, with support from its working group members. This will not be published openly but </w:t>
      </w:r>
      <w:r w:rsidR="008D30B1">
        <w:t>will be used to inform NCOB’s future engagement programme.</w:t>
      </w:r>
    </w:p>
    <w:p w14:paraId="391F524C" w14:textId="0EBA69CE" w:rsidR="00E957EA" w:rsidRDefault="00E957EA" w:rsidP="00F46EEC">
      <w:pPr>
        <w:pStyle w:val="NoSpacing"/>
      </w:pPr>
      <w:r>
        <w:t>Timescale</w:t>
      </w:r>
      <w:r w:rsidR="00EF74D1">
        <w:t>s</w:t>
      </w:r>
    </w:p>
    <w:p w14:paraId="39671E9E" w14:textId="054A6D00" w:rsidR="005366C1" w:rsidRDefault="008C6048" w:rsidP="005366C1">
      <w:r>
        <w:t>Contractors</w:t>
      </w:r>
      <w:r w:rsidR="005366C1">
        <w:t xml:space="preserve"> should set out a timeline for each stage of the dialogue</w:t>
      </w:r>
      <w:r>
        <w:t xml:space="preserve">, including </w:t>
      </w:r>
      <w:r w:rsidR="005366C1">
        <w:t xml:space="preserve">delivery, analysis, and reporting. </w:t>
      </w:r>
      <w:r>
        <w:t xml:space="preserve">They should demonstrate that they will be able to meet the following </w:t>
      </w:r>
      <w:r w:rsidR="0040300F">
        <w:t xml:space="preserve">timescales for the start and end of the project: </w:t>
      </w:r>
    </w:p>
    <w:p w14:paraId="7BED514E" w14:textId="4970C7EE" w:rsidR="00C954BA" w:rsidRDefault="00C954BA" w:rsidP="00CD2E60">
      <w:pPr>
        <w:spacing w:before="0" w:after="0"/>
      </w:pPr>
      <w:r w:rsidRPr="00C954BA">
        <w:rPr>
          <w:b/>
          <w:bCs/>
          <w:color w:val="1F3864" w:themeColor="accent5" w:themeShade="80"/>
        </w:rPr>
        <w:t>Start date</w:t>
      </w:r>
      <w:r>
        <w:t xml:space="preserve">: </w:t>
      </w:r>
      <w:r w:rsidR="005106EE">
        <w:t>20 May</w:t>
      </w:r>
      <w:r>
        <w:t xml:space="preserve"> 2022</w:t>
      </w:r>
    </w:p>
    <w:p w14:paraId="5C3724BD" w14:textId="4CF481E6" w:rsidR="00C0087C" w:rsidRDefault="00C0087C" w:rsidP="00CD2E60">
      <w:pPr>
        <w:spacing w:before="0" w:after="0"/>
      </w:pPr>
      <w:r w:rsidRPr="00C0087C">
        <w:rPr>
          <w:b/>
          <w:bCs/>
          <w:color w:val="1F3864" w:themeColor="accent5" w:themeShade="80"/>
        </w:rPr>
        <w:t>Draft report delivered</w:t>
      </w:r>
      <w:r>
        <w:t xml:space="preserve">: </w:t>
      </w:r>
      <w:r w:rsidR="00F90567">
        <w:t>19 July</w:t>
      </w:r>
      <w:r>
        <w:t xml:space="preserve"> 2022</w:t>
      </w:r>
    </w:p>
    <w:p w14:paraId="1F20ED05" w14:textId="158003EB" w:rsidR="007632F1" w:rsidRDefault="00C954BA" w:rsidP="00CD2E60">
      <w:pPr>
        <w:spacing w:before="0" w:after="0"/>
      </w:pPr>
      <w:r w:rsidRPr="00C954BA">
        <w:rPr>
          <w:b/>
          <w:bCs/>
          <w:color w:val="1F3864" w:themeColor="accent5" w:themeShade="80"/>
        </w:rPr>
        <w:t>Final report delivered</w:t>
      </w:r>
      <w:r>
        <w:t xml:space="preserve">: </w:t>
      </w:r>
      <w:r w:rsidR="00F90567">
        <w:t>29 July</w:t>
      </w:r>
      <w:r>
        <w:t xml:space="preserve"> 2022</w:t>
      </w:r>
    </w:p>
    <w:p w14:paraId="6CA1062F" w14:textId="5AE53BF8" w:rsidR="00395E9A" w:rsidRDefault="00473F61" w:rsidP="00F46EEC">
      <w:pPr>
        <w:pStyle w:val="NoSpacing"/>
      </w:pPr>
      <w:r>
        <w:t>Budget</w:t>
      </w:r>
    </w:p>
    <w:p w14:paraId="5D79DEB7" w14:textId="77777777" w:rsidR="00BD258B" w:rsidRDefault="00473F61" w:rsidP="00473F61">
      <w:r>
        <w:t xml:space="preserve">Tenders should demonstrate that the dialogue and its outputs can be delivered </w:t>
      </w:r>
      <w:r w:rsidR="00CD2E60">
        <w:t>to a budget of approximately</w:t>
      </w:r>
      <w:r w:rsidR="002B7867">
        <w:t xml:space="preserve"> </w:t>
      </w:r>
      <w:r w:rsidR="002B7867" w:rsidRPr="002B7867">
        <w:rPr>
          <w:b/>
          <w:bCs/>
          <w:color w:val="1F3864" w:themeColor="accent5" w:themeShade="80"/>
        </w:rPr>
        <w:t>£30,000</w:t>
      </w:r>
      <w:r w:rsidR="002B7867">
        <w:t>–</w:t>
      </w:r>
      <w:r w:rsidR="00CD2E60" w:rsidRPr="00CD2E60">
        <w:rPr>
          <w:b/>
          <w:bCs/>
          <w:color w:val="1F3864" w:themeColor="accent5" w:themeShade="80"/>
        </w:rPr>
        <w:t>£</w:t>
      </w:r>
      <w:r w:rsidR="00C37C6B">
        <w:rPr>
          <w:b/>
          <w:bCs/>
          <w:color w:val="1F3864" w:themeColor="accent5" w:themeShade="80"/>
        </w:rPr>
        <w:t>3</w:t>
      </w:r>
      <w:r w:rsidR="00CD2E60" w:rsidRPr="00CD2E60">
        <w:rPr>
          <w:b/>
          <w:bCs/>
          <w:color w:val="1F3864" w:themeColor="accent5" w:themeShade="80"/>
        </w:rPr>
        <w:t>5,000</w:t>
      </w:r>
      <w:r w:rsidR="00CD2E60">
        <w:t xml:space="preserve">. </w:t>
      </w:r>
      <w:r w:rsidR="003422BC">
        <w:t>Please supply a breakdown of costs.</w:t>
      </w:r>
    </w:p>
    <w:p w14:paraId="605D6212" w14:textId="2644594E" w:rsidR="00BD258B" w:rsidRPr="00BD258B" w:rsidRDefault="00BD258B" w:rsidP="00F46EEC">
      <w:pPr>
        <w:pStyle w:val="NoSpacing"/>
      </w:pPr>
      <w:r w:rsidRPr="00BD258B">
        <w:t>Project governance</w:t>
      </w:r>
    </w:p>
    <w:p w14:paraId="5F1EF7C7" w14:textId="3A7ADC54" w:rsidR="00BD258B" w:rsidRDefault="00BD258B" w:rsidP="00473F61">
      <w:r>
        <w:t>The commissioning and reporting process for the dialogues will be overseen by a dialogue management group set up by the commissioning body,</w:t>
      </w:r>
      <w:r w:rsidR="00386ECA">
        <w:t xml:space="preserve"> made up of NCOB staff and </w:t>
      </w:r>
      <w:r w:rsidR="004564B4">
        <w:t>working group members,</w:t>
      </w:r>
      <w:r>
        <w:t xml:space="preserve"> </w:t>
      </w:r>
      <w:r w:rsidR="004564B4">
        <w:t>to</w:t>
      </w:r>
      <w:r w:rsidR="00386ECA">
        <w:t xml:space="preserve"> liaise with the contractor and oversee the delivery of the dialogue.</w:t>
      </w:r>
    </w:p>
    <w:p w14:paraId="0BBE81D0" w14:textId="23179AD1" w:rsidR="00BD258B" w:rsidRDefault="00BD258B" w:rsidP="00473F61">
      <w:r>
        <w:t>The Contractor will be responsible for running the dialogue.</w:t>
      </w:r>
    </w:p>
    <w:p w14:paraId="38655C69" w14:textId="4CCE358E" w:rsidR="00BD258B" w:rsidRDefault="00BD258B" w:rsidP="00473F61">
      <w:r>
        <w:t xml:space="preserve">The Research Officer from NCOB will act as the first point of contact for the Contractor. </w:t>
      </w:r>
    </w:p>
    <w:p w14:paraId="7AB693BF" w14:textId="52B049B7" w:rsidR="00BD258B" w:rsidRDefault="00BD258B" w:rsidP="00473F61">
      <w:r>
        <w:t>Contractors should allow for sufficient meetings with NCOB, including an inception meeting, weekly project update meetings, and a presentation of the findings of the dialogue at a final meeting for the project.</w:t>
      </w:r>
    </w:p>
    <w:p w14:paraId="1167C435" w14:textId="5A03A988" w:rsidR="002B039A" w:rsidRPr="002B039A" w:rsidRDefault="002B039A" w:rsidP="00F46EEC">
      <w:pPr>
        <w:pStyle w:val="NoSpacing"/>
      </w:pPr>
      <w:r w:rsidRPr="002B039A">
        <w:t xml:space="preserve">Consent for the use of project materials </w:t>
      </w:r>
    </w:p>
    <w:p w14:paraId="673E08FD" w14:textId="4081AF28" w:rsidR="002B039A" w:rsidRDefault="002B039A" w:rsidP="00473F61">
      <w:r>
        <w:t>The Contractor will ensure that dialogue events are recorded (in an appropriate and good quality format including audio, video, and transcripts), and that signed consent is sought from participants and other recorded stakeholders to enable</w:t>
      </w:r>
      <w:r w:rsidR="00803293">
        <w:t xml:space="preserve"> the</w:t>
      </w:r>
      <w:r>
        <w:t xml:space="preserve"> material to be used by the NCOB.</w:t>
      </w:r>
    </w:p>
    <w:p w14:paraId="13C674E1" w14:textId="300F1464" w:rsidR="007E0880" w:rsidRPr="00BD258B" w:rsidRDefault="007E0880" w:rsidP="00F46EEC">
      <w:pPr>
        <w:pStyle w:val="NoSpacing"/>
      </w:pPr>
      <w:r w:rsidRPr="007E0880">
        <w:t xml:space="preserve">Data security </w:t>
      </w:r>
    </w:p>
    <w:p w14:paraId="616C6927" w14:textId="69506AF7" w:rsidR="007E0880" w:rsidRDefault="007E0880" w:rsidP="00473F61">
      <w:r>
        <w:t xml:space="preserve">The successful Contractor must comply with General Data Protection Regulation (GDPR) and any information collected, processed, and transferred on behalf of the </w:t>
      </w:r>
      <w:r>
        <w:lastRenderedPageBreak/>
        <w:t xml:space="preserve">NCOB, must be held and transferred securely. Contractors must provide assurances of compliance with GDPR. </w:t>
      </w:r>
    </w:p>
    <w:p w14:paraId="25F4EAC9" w14:textId="77777777" w:rsidR="007E0880" w:rsidRDefault="007E0880" w:rsidP="00473F61">
      <w:r>
        <w:t>The successful Contractor will need to ensure that individual views of participants are not reported/published in any way that links them with personal details such as names and addresses of the participants.</w:t>
      </w:r>
    </w:p>
    <w:p w14:paraId="200A54E7" w14:textId="77777777" w:rsidR="007E0880" w:rsidRDefault="007E0880" w:rsidP="00473F61">
      <w:r>
        <w:t>The Contractor will, on behalf of NCOB, seek permission from public participants and stakeholders attending dialogue sessions to contact them again in the future, and those tendering should include in their proposal the arrangements for seeking this consent.</w:t>
      </w:r>
    </w:p>
    <w:p w14:paraId="280DD1DD" w14:textId="2CC33B6A" w:rsidR="007E0880" w:rsidRDefault="007E0880" w:rsidP="00473F61">
      <w:r>
        <w:t xml:space="preserve">Participants should be offered the option of sharing their contact details if they wish to be updated about the </w:t>
      </w:r>
      <w:r w:rsidR="00441633">
        <w:t>project’s</w:t>
      </w:r>
      <w:r>
        <w:t xml:space="preserve"> progress. Those tendering should include in their proposal the arrangements to be made for secure transfer of participant details (names, addresses, etc) to the NCOB if participants wish to share their details.</w:t>
      </w:r>
    </w:p>
    <w:p w14:paraId="46C601AC" w14:textId="137D24BC" w:rsidR="005F1F00" w:rsidRDefault="005F1F00" w:rsidP="00F46EEC">
      <w:pPr>
        <w:pStyle w:val="NoSpacing"/>
      </w:pPr>
      <w:r w:rsidRPr="005F1F00">
        <w:t>Selection criteria</w:t>
      </w:r>
    </w:p>
    <w:p w14:paraId="5225E98A" w14:textId="6164E161" w:rsidR="005F1F00" w:rsidRDefault="00915C9E" w:rsidP="00F46EEC">
      <w:pPr>
        <w:pStyle w:val="NoSpacing"/>
        <w:numPr>
          <w:ilvl w:val="0"/>
          <w:numId w:val="0"/>
        </w:numPr>
      </w:pPr>
      <w:r>
        <w:t>The evaluation of tenders will be subject to criteria including, but not limited to, the following areas:</w:t>
      </w:r>
    </w:p>
    <w:p w14:paraId="18E5897A" w14:textId="1DF38337" w:rsidR="00FF3AC1" w:rsidRDefault="00345435" w:rsidP="00FF3AC1">
      <w:pPr>
        <w:pStyle w:val="paragraph"/>
        <w:numPr>
          <w:ilvl w:val="0"/>
          <w:numId w:val="23"/>
        </w:numPr>
        <w:spacing w:before="0" w:beforeAutospacing="0" w:after="0" w:afterAutospacing="0"/>
        <w:textAlignment w:val="baseline"/>
        <w:rPr>
          <w:rFonts w:ascii="Arial" w:hAnsi="Arial" w:cs="Arial"/>
        </w:rPr>
      </w:pPr>
      <w:r w:rsidRPr="007C00A0">
        <w:rPr>
          <w:rStyle w:val="normaltextrun"/>
          <w:rFonts w:ascii="Arial" w:eastAsiaTheme="majorEastAsia" w:hAnsi="Arial" w:cs="Arial"/>
          <w:b/>
          <w:bCs/>
          <w:color w:val="1F3864" w:themeColor="accent5" w:themeShade="80"/>
        </w:rPr>
        <w:t xml:space="preserve">Capability 60% </w:t>
      </w:r>
      <w:r w:rsidRPr="00345435">
        <w:rPr>
          <w:rStyle w:val="normaltextrun"/>
          <w:rFonts w:ascii="Arial" w:eastAsiaTheme="majorEastAsia" w:hAnsi="Arial" w:cs="Arial"/>
          <w:b/>
          <w:bCs/>
        </w:rPr>
        <w:t xml:space="preserve">- </w:t>
      </w:r>
      <w:r w:rsidR="00441633" w:rsidRPr="00441633">
        <w:rPr>
          <w:rStyle w:val="normaltextrun"/>
          <w:rFonts w:ascii="Arial" w:eastAsiaTheme="majorEastAsia" w:hAnsi="Arial" w:cs="Arial"/>
        </w:rPr>
        <w:t xml:space="preserve">the </w:t>
      </w:r>
      <w:r w:rsidRPr="00345435">
        <w:rPr>
          <w:rStyle w:val="normaltextrun"/>
          <w:rFonts w:ascii="Arial" w:eastAsiaTheme="majorEastAsia" w:hAnsi="Arial" w:cs="Arial"/>
        </w:rPr>
        <w:t>quality of the proposed methodology demonstrating an understanding of the project objectives and proposed methods for how these will be achieved</w:t>
      </w:r>
      <w:r w:rsidRPr="00345435">
        <w:rPr>
          <w:rStyle w:val="normaltextrun"/>
          <w:rFonts w:ascii="Arial" w:eastAsiaTheme="majorEastAsia" w:hAnsi="Arial" w:cs="Arial"/>
          <w:b/>
          <w:bCs/>
        </w:rPr>
        <w:t xml:space="preserve">, </w:t>
      </w:r>
      <w:r w:rsidRPr="00345435">
        <w:rPr>
          <w:rStyle w:val="normaltextrun"/>
          <w:rFonts w:ascii="Arial" w:eastAsiaTheme="majorEastAsia" w:hAnsi="Arial" w:cs="Arial"/>
        </w:rPr>
        <w:t xml:space="preserve">and the </w:t>
      </w:r>
      <w:r w:rsidRPr="00345435">
        <w:rPr>
          <w:rStyle w:val="normaltextrun"/>
          <w:rFonts w:ascii="Arial" w:eastAsiaTheme="majorEastAsia" w:hAnsi="Arial" w:cs="Arial"/>
          <w:i/>
          <w:iCs/>
        </w:rPr>
        <w:t>suitability</w:t>
      </w:r>
      <w:r w:rsidRPr="00345435">
        <w:rPr>
          <w:rStyle w:val="normaltextrun"/>
          <w:rFonts w:ascii="Arial" w:eastAsiaTheme="majorEastAsia" w:hAnsi="Arial" w:cs="Arial"/>
        </w:rPr>
        <w:t xml:space="preserve"> of the proposal against the specification set out in the invitation to tender.</w:t>
      </w:r>
      <w:r w:rsidRPr="00345435">
        <w:rPr>
          <w:rStyle w:val="eop"/>
          <w:rFonts w:ascii="Arial" w:hAnsi="Arial" w:cs="Arial"/>
        </w:rPr>
        <w:t> </w:t>
      </w:r>
    </w:p>
    <w:p w14:paraId="52B72F9D" w14:textId="77777777" w:rsidR="00FF3AC1" w:rsidRDefault="00345435" w:rsidP="00FF3AC1">
      <w:pPr>
        <w:pStyle w:val="paragraph"/>
        <w:numPr>
          <w:ilvl w:val="0"/>
          <w:numId w:val="23"/>
        </w:numPr>
        <w:spacing w:before="0" w:beforeAutospacing="0" w:after="0" w:afterAutospacing="0"/>
        <w:textAlignment w:val="baseline"/>
        <w:rPr>
          <w:rFonts w:ascii="Arial" w:hAnsi="Arial" w:cs="Arial"/>
        </w:rPr>
      </w:pPr>
      <w:r w:rsidRPr="007C00A0">
        <w:rPr>
          <w:rStyle w:val="normaltextrun"/>
          <w:rFonts w:ascii="Arial" w:eastAsiaTheme="majorEastAsia" w:hAnsi="Arial" w:cs="Arial"/>
          <w:b/>
          <w:bCs/>
          <w:color w:val="1F3864" w:themeColor="accent5" w:themeShade="80"/>
        </w:rPr>
        <w:t xml:space="preserve">Capacity 10% </w:t>
      </w:r>
      <w:r w:rsidRPr="00FF3AC1">
        <w:rPr>
          <w:rStyle w:val="normaltextrun"/>
          <w:rFonts w:ascii="Arial" w:eastAsiaTheme="majorEastAsia" w:hAnsi="Arial" w:cs="Arial"/>
          <w:b/>
          <w:bCs/>
        </w:rPr>
        <w:t xml:space="preserve">- </w:t>
      </w:r>
      <w:r w:rsidRPr="00FF3AC1">
        <w:rPr>
          <w:rStyle w:val="normaltextrun"/>
          <w:rFonts w:ascii="Arial" w:eastAsiaTheme="majorEastAsia" w:hAnsi="Arial" w:cs="Arial"/>
        </w:rPr>
        <w:t>sufficient resources for the requirements of the project with appropriate timescales and consistency of a core team.</w:t>
      </w:r>
      <w:r w:rsidRPr="00FF3AC1">
        <w:rPr>
          <w:rStyle w:val="normaltextrun"/>
          <w:rFonts w:ascii="Arial" w:eastAsiaTheme="majorEastAsia" w:hAnsi="Arial" w:cs="Arial"/>
          <w:b/>
          <w:bCs/>
        </w:rPr>
        <w:t> </w:t>
      </w:r>
      <w:r w:rsidRPr="00FF3AC1">
        <w:rPr>
          <w:rStyle w:val="eop"/>
          <w:rFonts w:ascii="Arial" w:hAnsi="Arial" w:cs="Arial"/>
        </w:rPr>
        <w:t> </w:t>
      </w:r>
    </w:p>
    <w:p w14:paraId="75B4FA3E" w14:textId="24D4A961" w:rsidR="00FF3AC1" w:rsidRDefault="00345435" w:rsidP="00FF3AC1">
      <w:pPr>
        <w:pStyle w:val="paragraph"/>
        <w:numPr>
          <w:ilvl w:val="0"/>
          <w:numId w:val="23"/>
        </w:numPr>
        <w:spacing w:before="0" w:beforeAutospacing="0" w:after="0" w:afterAutospacing="0"/>
        <w:textAlignment w:val="baseline"/>
        <w:rPr>
          <w:rFonts w:ascii="Arial" w:hAnsi="Arial" w:cs="Arial"/>
        </w:rPr>
      </w:pPr>
      <w:r w:rsidRPr="007C00A0">
        <w:rPr>
          <w:rStyle w:val="normaltextrun"/>
          <w:rFonts w:ascii="Arial" w:eastAsiaTheme="majorEastAsia" w:hAnsi="Arial" w:cs="Arial"/>
          <w:b/>
          <w:bCs/>
          <w:color w:val="1F3864" w:themeColor="accent5" w:themeShade="80"/>
        </w:rPr>
        <w:t xml:space="preserve">Quality </w:t>
      </w:r>
      <w:r w:rsidR="00794CF6">
        <w:rPr>
          <w:rStyle w:val="normaltextrun"/>
          <w:rFonts w:ascii="Arial" w:eastAsiaTheme="majorEastAsia" w:hAnsi="Arial" w:cs="Arial"/>
          <w:b/>
          <w:bCs/>
          <w:color w:val="1F3864" w:themeColor="accent5" w:themeShade="80"/>
        </w:rPr>
        <w:t xml:space="preserve">assurance </w:t>
      </w:r>
      <w:r w:rsidRPr="007C00A0">
        <w:rPr>
          <w:rStyle w:val="normaltextrun"/>
          <w:rFonts w:ascii="Arial" w:eastAsiaTheme="majorEastAsia" w:hAnsi="Arial" w:cs="Arial"/>
          <w:b/>
          <w:bCs/>
          <w:color w:val="1F3864" w:themeColor="accent5" w:themeShade="80"/>
        </w:rPr>
        <w:t xml:space="preserve">10% </w:t>
      </w:r>
      <w:r w:rsidRPr="00FF3AC1">
        <w:rPr>
          <w:rStyle w:val="normaltextrun"/>
          <w:rFonts w:ascii="Arial" w:eastAsiaTheme="majorEastAsia" w:hAnsi="Arial" w:cs="Arial"/>
          <w:b/>
          <w:bCs/>
        </w:rPr>
        <w:t xml:space="preserve">- </w:t>
      </w:r>
      <w:r w:rsidRPr="00FF3AC1">
        <w:rPr>
          <w:rStyle w:val="normaltextrun"/>
          <w:rFonts w:ascii="Arial" w:eastAsiaTheme="majorEastAsia" w:hAnsi="Arial" w:cs="Arial"/>
        </w:rPr>
        <w:t>appropriate quality assurance processes and risk mitigation.</w:t>
      </w:r>
      <w:r w:rsidRPr="00FF3AC1">
        <w:rPr>
          <w:rStyle w:val="eop"/>
          <w:rFonts w:ascii="Arial" w:hAnsi="Arial" w:cs="Arial"/>
        </w:rPr>
        <w:t> </w:t>
      </w:r>
    </w:p>
    <w:p w14:paraId="4DB6B784" w14:textId="78A8904E" w:rsidR="00E7489E" w:rsidRPr="00FF3AC1" w:rsidRDefault="00345435" w:rsidP="00FF3AC1">
      <w:pPr>
        <w:pStyle w:val="paragraph"/>
        <w:numPr>
          <w:ilvl w:val="0"/>
          <w:numId w:val="23"/>
        </w:numPr>
        <w:spacing w:before="0" w:beforeAutospacing="0" w:after="0" w:afterAutospacing="0"/>
        <w:textAlignment w:val="baseline"/>
        <w:rPr>
          <w:rFonts w:ascii="Arial" w:hAnsi="Arial" w:cs="Arial"/>
        </w:rPr>
      </w:pPr>
      <w:r w:rsidRPr="007C00A0">
        <w:rPr>
          <w:rStyle w:val="normaltextrun"/>
          <w:rFonts w:ascii="Arial" w:eastAsiaTheme="majorEastAsia" w:hAnsi="Arial" w:cs="Arial"/>
          <w:b/>
          <w:bCs/>
          <w:color w:val="1F3864" w:themeColor="accent5" w:themeShade="80"/>
        </w:rPr>
        <w:t xml:space="preserve">Price 20% </w:t>
      </w:r>
      <w:r w:rsidRPr="00FF3AC1">
        <w:rPr>
          <w:rStyle w:val="normaltextrun"/>
          <w:rFonts w:ascii="Arial" w:eastAsiaTheme="majorEastAsia" w:hAnsi="Arial" w:cs="Arial"/>
          <w:b/>
          <w:bCs/>
        </w:rPr>
        <w:t xml:space="preserve">- </w:t>
      </w:r>
      <w:r w:rsidRPr="00FF3AC1">
        <w:rPr>
          <w:rStyle w:val="normaltextrun"/>
          <w:rFonts w:ascii="Arial" w:eastAsiaTheme="majorEastAsia" w:hAnsi="Arial" w:cs="Arial"/>
        </w:rPr>
        <w:t>demonstration of value for money.</w:t>
      </w:r>
      <w:r w:rsidRPr="00FF3AC1">
        <w:rPr>
          <w:rStyle w:val="eop"/>
          <w:rFonts w:ascii="Arial" w:hAnsi="Arial" w:cs="Arial"/>
        </w:rPr>
        <w:t> </w:t>
      </w:r>
    </w:p>
    <w:p w14:paraId="6753D453" w14:textId="2FFB4234" w:rsidR="001620B3" w:rsidRDefault="001620B3" w:rsidP="00F46EEC">
      <w:pPr>
        <w:pStyle w:val="NoSpacing"/>
      </w:pPr>
      <w:r>
        <w:t>Selection process</w:t>
      </w:r>
    </w:p>
    <w:p w14:paraId="04AFF7FF" w14:textId="6E04356B" w:rsidR="001F1DF5" w:rsidRDefault="001620B3" w:rsidP="0070611B">
      <w:r>
        <w:t xml:space="preserve">A commissioning team including representatives from NCOB and its working group on the future of ageing will assess each application and </w:t>
      </w:r>
      <w:r w:rsidR="00C431B4">
        <w:t>shortlist</w:t>
      </w:r>
      <w:r>
        <w:t xml:space="preserve"> contractor</w:t>
      </w:r>
      <w:r w:rsidR="00C431B4">
        <w:t>s</w:t>
      </w:r>
      <w:r w:rsidR="005F1F00">
        <w:t xml:space="preserve"> based on the selection criteria listed</w:t>
      </w:r>
      <w:r w:rsidR="00C431B4">
        <w:t>.</w:t>
      </w:r>
      <w:r w:rsidR="005F1F00">
        <w:t xml:space="preserve"> </w:t>
      </w:r>
    </w:p>
    <w:p w14:paraId="7DA4C3DA" w14:textId="3E93821B" w:rsidR="007D283A" w:rsidRDefault="007D283A" w:rsidP="007D283A">
      <w:r>
        <w:t xml:space="preserve">Shortlisted contractors will be contacted by </w:t>
      </w:r>
      <w:r w:rsidR="00743EA4">
        <w:rPr>
          <w:b/>
          <w:bCs/>
          <w:color w:val="1F3864" w:themeColor="accent5" w:themeShade="80"/>
        </w:rPr>
        <w:t>21 April</w:t>
      </w:r>
      <w:r w:rsidRPr="00DD01B4">
        <w:rPr>
          <w:b/>
          <w:bCs/>
          <w:color w:val="1F3864" w:themeColor="accent5" w:themeShade="80"/>
        </w:rPr>
        <w:t xml:space="preserve"> 2022</w:t>
      </w:r>
      <w:r>
        <w:t xml:space="preserve">. </w:t>
      </w:r>
      <w:r w:rsidR="00441633">
        <w:t>Informal i</w:t>
      </w:r>
      <w:r>
        <w:t xml:space="preserve">nterviews with those who have been shortlisted will take place on </w:t>
      </w:r>
      <w:r w:rsidR="00743EA4">
        <w:rPr>
          <w:b/>
          <w:bCs/>
          <w:color w:val="1F3864" w:themeColor="accent5" w:themeShade="80"/>
        </w:rPr>
        <w:t>28</w:t>
      </w:r>
      <w:r w:rsidRPr="000F355C">
        <w:rPr>
          <w:b/>
          <w:bCs/>
          <w:color w:val="1F3864" w:themeColor="accent5" w:themeShade="80"/>
        </w:rPr>
        <w:t xml:space="preserve"> April 2022</w:t>
      </w:r>
      <w:r>
        <w:t>. Contractors should ensure that they are able to be free for</w:t>
      </w:r>
      <w:r w:rsidR="009109EA">
        <w:t xml:space="preserve"> </w:t>
      </w:r>
      <w:r>
        <w:t xml:space="preserve">interview that day, as alternative dates will not be available. </w:t>
      </w:r>
    </w:p>
    <w:p w14:paraId="17650712" w14:textId="11754974" w:rsidR="0003594B" w:rsidRDefault="0003594B" w:rsidP="00473F61">
      <w:r w:rsidRPr="0003594B">
        <w:t>NC</w:t>
      </w:r>
      <w:r>
        <w:t>O</w:t>
      </w:r>
      <w:r w:rsidRPr="0003594B">
        <w:t xml:space="preserve">B supports the </w:t>
      </w:r>
      <w:hyperlink r:id="rId17" w:history="1">
        <w:r w:rsidRPr="0003594B">
          <w:rPr>
            <w:rStyle w:val="Hyperlink"/>
          </w:rPr>
          <w:t>guiding principles</w:t>
        </w:r>
      </w:hyperlink>
      <w:r w:rsidRPr="0003594B">
        <w:t xml:space="preserve"> for public dialogue on science and technology related issues as identified by the UKRI </w:t>
      </w:r>
      <w:proofErr w:type="spellStart"/>
      <w:r w:rsidRPr="0003594B">
        <w:t>Sciencewise</w:t>
      </w:r>
      <w:proofErr w:type="spellEnd"/>
      <w:r w:rsidRPr="0003594B">
        <w:t xml:space="preserve"> programme. Applicants should be guided by these principles as best practice in public engagement in their tender proposals. </w:t>
      </w:r>
    </w:p>
    <w:p w14:paraId="7C6509BB" w14:textId="3AE9989D" w:rsidR="001C56E7" w:rsidRDefault="001C56E7" w:rsidP="00F46EEC">
      <w:pPr>
        <w:pStyle w:val="NoSpacing"/>
      </w:pPr>
      <w:r>
        <w:t>How to apply</w:t>
      </w:r>
    </w:p>
    <w:p w14:paraId="7ACD0BFC" w14:textId="2D3863B2" w:rsidR="001C56E7" w:rsidRDefault="001C56E7" w:rsidP="00473F61">
      <w:r>
        <w:t xml:space="preserve">The deadline for submissions of full applications is </w:t>
      </w:r>
      <w:r w:rsidRPr="009E5A2E">
        <w:rPr>
          <w:b/>
          <w:bCs/>
          <w:color w:val="1F3864" w:themeColor="accent5" w:themeShade="80"/>
        </w:rPr>
        <w:t xml:space="preserve">17:00 </w:t>
      </w:r>
      <w:r w:rsidRPr="009E5A2E">
        <w:t>on</w:t>
      </w:r>
      <w:r w:rsidRPr="009E5A2E">
        <w:rPr>
          <w:b/>
          <w:bCs/>
          <w:color w:val="1F3864" w:themeColor="accent5" w:themeShade="80"/>
        </w:rPr>
        <w:t xml:space="preserve"> </w:t>
      </w:r>
      <w:r w:rsidR="00743EA4">
        <w:rPr>
          <w:b/>
          <w:bCs/>
          <w:color w:val="1F3864" w:themeColor="accent5" w:themeShade="80"/>
        </w:rPr>
        <w:t>14 April</w:t>
      </w:r>
      <w:r w:rsidR="005E5C77" w:rsidRPr="009E5A2E">
        <w:rPr>
          <w:b/>
          <w:bCs/>
          <w:color w:val="1F3864" w:themeColor="accent5" w:themeShade="80"/>
        </w:rPr>
        <w:t xml:space="preserve"> 2022</w:t>
      </w:r>
      <w:r w:rsidR="005E5C77">
        <w:t>.</w:t>
      </w:r>
    </w:p>
    <w:p w14:paraId="095A065D" w14:textId="6ACF5357" w:rsidR="005E5C77" w:rsidRDefault="00995241" w:rsidP="00473F61">
      <w:r>
        <w:lastRenderedPageBreak/>
        <w:t xml:space="preserve">Applications should include details and costings as outlined in this specification. </w:t>
      </w:r>
    </w:p>
    <w:p w14:paraId="78380A2A" w14:textId="77777777" w:rsidR="00CA177C" w:rsidRDefault="00995241" w:rsidP="00473F61">
      <w:r>
        <w:t>Electronic copies of the tender should be emailed to</w:t>
      </w:r>
      <w:r w:rsidR="00CA177C">
        <w:t>:</w:t>
      </w:r>
    </w:p>
    <w:p w14:paraId="3B72A1A6" w14:textId="77777777" w:rsidR="00CA177C" w:rsidRDefault="00995241" w:rsidP="00545AED">
      <w:pPr>
        <w:spacing w:before="0" w:after="0"/>
        <w:ind w:left="284"/>
      </w:pPr>
      <w:r>
        <w:t>Molly Gray</w:t>
      </w:r>
    </w:p>
    <w:p w14:paraId="64159893" w14:textId="77777777" w:rsidR="00CA177C" w:rsidRDefault="006C6FE1" w:rsidP="00545AED">
      <w:pPr>
        <w:spacing w:before="0" w:after="0"/>
        <w:ind w:left="284"/>
      </w:pPr>
      <w:r>
        <w:t>Research Officer</w:t>
      </w:r>
    </w:p>
    <w:p w14:paraId="2A69DC4B" w14:textId="77777777" w:rsidR="00CA177C" w:rsidRDefault="006C6FE1" w:rsidP="00545AED">
      <w:pPr>
        <w:spacing w:before="0" w:after="0"/>
        <w:ind w:left="284"/>
      </w:pPr>
      <w:r>
        <w:t>Nuffield Council on Bioethics</w:t>
      </w:r>
    </w:p>
    <w:p w14:paraId="28F27EF3" w14:textId="432C6491" w:rsidR="00995241" w:rsidRDefault="00570A5D" w:rsidP="00545AED">
      <w:pPr>
        <w:spacing w:before="0" w:after="0"/>
        <w:ind w:left="284"/>
      </w:pPr>
      <w:hyperlink r:id="rId18" w:history="1">
        <w:r w:rsidR="00CA177C" w:rsidRPr="00AB4401">
          <w:rPr>
            <w:rStyle w:val="Hyperlink"/>
          </w:rPr>
          <w:t>mgray@nuffieldbioethics.org</w:t>
        </w:r>
      </w:hyperlink>
    </w:p>
    <w:p w14:paraId="5162C6FB" w14:textId="34122BD8" w:rsidR="00545AED" w:rsidRDefault="00545AED" w:rsidP="00545AED">
      <w:r>
        <w:t xml:space="preserve">Receipt of your application will be confirmed by email. If you do not receive confirmation within 24 hours of the deadline, please telephone </w:t>
      </w:r>
      <w:r w:rsidR="00077773" w:rsidRPr="00077773">
        <w:t>+44</w:t>
      </w:r>
      <w:r w:rsidR="000C6DAB">
        <w:t xml:space="preserve"> 20 7323 6240</w:t>
      </w:r>
      <w:r w:rsidR="000C6DAB">
        <w:rPr>
          <w:rFonts w:ascii="Segoe UI" w:hAnsi="Segoe UI" w:cs="Segoe UI"/>
          <w:color w:val="252423"/>
          <w:sz w:val="21"/>
          <w:szCs w:val="21"/>
          <w:shd w:val="clear" w:color="auto" w:fill="FAFAFA"/>
        </w:rPr>
        <w:t>.</w:t>
      </w:r>
    </w:p>
    <w:p w14:paraId="0C7F9CA6" w14:textId="77777777" w:rsidR="00473F61" w:rsidRDefault="00473F61" w:rsidP="005366C1"/>
    <w:p w14:paraId="36E613D8" w14:textId="77777777" w:rsidR="00AE28F9" w:rsidRPr="00AE28F9" w:rsidRDefault="00AE28F9" w:rsidP="00AE28F9"/>
    <w:sectPr w:rsidR="00AE28F9" w:rsidRPr="00AE28F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21A5" w14:textId="77777777" w:rsidR="00570A5D" w:rsidRDefault="00570A5D" w:rsidP="00CE5C65">
      <w:pPr>
        <w:spacing w:before="0" w:after="0"/>
      </w:pPr>
      <w:r>
        <w:separator/>
      </w:r>
    </w:p>
  </w:endnote>
  <w:endnote w:type="continuationSeparator" w:id="0">
    <w:p w14:paraId="658824DC" w14:textId="77777777" w:rsidR="00570A5D" w:rsidRDefault="00570A5D" w:rsidP="00CE5C65">
      <w:pPr>
        <w:spacing w:before="0" w:after="0"/>
      </w:pPr>
      <w:r>
        <w:continuationSeparator/>
      </w:r>
    </w:p>
  </w:endnote>
  <w:endnote w:type="continuationNotice" w:id="1">
    <w:p w14:paraId="624F6D57" w14:textId="77777777" w:rsidR="00570A5D" w:rsidRDefault="00570A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62058"/>
      <w:docPartObj>
        <w:docPartGallery w:val="Page Numbers (Bottom of Page)"/>
        <w:docPartUnique/>
      </w:docPartObj>
    </w:sdtPr>
    <w:sdtEndPr>
      <w:rPr>
        <w:noProof/>
      </w:rPr>
    </w:sdtEndPr>
    <w:sdtContent>
      <w:p w14:paraId="078B36AA" w14:textId="77777777" w:rsidR="00A41B8D" w:rsidRDefault="00A41B8D">
        <w:pPr>
          <w:pStyle w:val="Footer"/>
          <w:jc w:val="right"/>
        </w:pPr>
        <w:r>
          <w:fldChar w:fldCharType="begin"/>
        </w:r>
        <w:r>
          <w:instrText xml:space="preserve"> PAGE   \* MERGEFORMAT </w:instrText>
        </w:r>
        <w:r>
          <w:fldChar w:fldCharType="separate"/>
        </w:r>
        <w:r w:rsidR="00EB19A1">
          <w:rPr>
            <w:noProof/>
          </w:rPr>
          <w:t>1</w:t>
        </w:r>
        <w:r>
          <w:rPr>
            <w:noProof/>
          </w:rPr>
          <w:fldChar w:fldCharType="end"/>
        </w:r>
      </w:p>
    </w:sdtContent>
  </w:sdt>
  <w:p w14:paraId="02BCD906" w14:textId="77777777" w:rsidR="00A41B8D" w:rsidRDefault="00A4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981B" w14:textId="77777777" w:rsidR="00570A5D" w:rsidRDefault="00570A5D" w:rsidP="00CE5C65">
      <w:pPr>
        <w:spacing w:before="0" w:after="0"/>
      </w:pPr>
      <w:r>
        <w:separator/>
      </w:r>
    </w:p>
  </w:footnote>
  <w:footnote w:type="continuationSeparator" w:id="0">
    <w:p w14:paraId="1E2F53CF" w14:textId="77777777" w:rsidR="00570A5D" w:rsidRDefault="00570A5D" w:rsidP="00CE5C65">
      <w:pPr>
        <w:spacing w:before="0" w:after="0"/>
      </w:pPr>
      <w:r>
        <w:continuationSeparator/>
      </w:r>
    </w:p>
  </w:footnote>
  <w:footnote w:type="continuationNotice" w:id="1">
    <w:p w14:paraId="0B4E58EA" w14:textId="77777777" w:rsidR="00570A5D" w:rsidRDefault="00570A5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F45EA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BC03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819B5"/>
    <w:multiLevelType w:val="hybridMultilevel"/>
    <w:tmpl w:val="4050D290"/>
    <w:lvl w:ilvl="0" w:tplc="6F50A7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95663"/>
    <w:multiLevelType w:val="hybridMultilevel"/>
    <w:tmpl w:val="DCC63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559CC"/>
    <w:multiLevelType w:val="hybridMultilevel"/>
    <w:tmpl w:val="64B8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632A4"/>
    <w:multiLevelType w:val="hybridMultilevel"/>
    <w:tmpl w:val="E7E4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602"/>
    <w:multiLevelType w:val="hybridMultilevel"/>
    <w:tmpl w:val="9F502ED0"/>
    <w:lvl w:ilvl="0" w:tplc="3F8E926E">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27EDA"/>
    <w:multiLevelType w:val="hybridMultilevel"/>
    <w:tmpl w:val="850484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12BD3"/>
    <w:multiLevelType w:val="multilevel"/>
    <w:tmpl w:val="F496A1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F56041A"/>
    <w:multiLevelType w:val="hybridMultilevel"/>
    <w:tmpl w:val="05CCC9DA"/>
    <w:lvl w:ilvl="0" w:tplc="39E684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07C2A"/>
    <w:multiLevelType w:val="hybridMultilevel"/>
    <w:tmpl w:val="39E0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C49C5"/>
    <w:multiLevelType w:val="multilevel"/>
    <w:tmpl w:val="889ADEC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BD44A3E"/>
    <w:multiLevelType w:val="multilevel"/>
    <w:tmpl w:val="DC9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0001A"/>
    <w:multiLevelType w:val="multilevel"/>
    <w:tmpl w:val="3C4A40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0EDF483"/>
    <w:multiLevelType w:val="hybridMultilevel"/>
    <w:tmpl w:val="DAA45B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E3093F"/>
    <w:multiLevelType w:val="multilevel"/>
    <w:tmpl w:val="BA2E249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D46B54"/>
    <w:multiLevelType w:val="hybridMultilevel"/>
    <w:tmpl w:val="B76881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B2144"/>
    <w:multiLevelType w:val="multilevel"/>
    <w:tmpl w:val="CB5C32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9841D18"/>
    <w:multiLevelType w:val="hybridMultilevel"/>
    <w:tmpl w:val="220438B2"/>
    <w:lvl w:ilvl="0" w:tplc="72FE0FD0">
      <w:start w:val="1"/>
      <w:numFmt w:val="lowerRoman"/>
      <w:lvlText w:val="%1."/>
      <w:lvlJc w:val="left"/>
      <w:pPr>
        <w:ind w:left="720" w:hanging="360"/>
      </w:pPr>
      <w:rPr>
        <w:rFonts w:ascii="Arial" w:eastAsiaTheme="minorHAnsi" w:hAnsi="Arial" w:cstheme="minorBidi"/>
        <w:b/>
        <w:bCs/>
        <w:color w:val="1F3864"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0052C"/>
    <w:multiLevelType w:val="multilevel"/>
    <w:tmpl w:val="47D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95C20"/>
    <w:multiLevelType w:val="multilevel"/>
    <w:tmpl w:val="031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9"/>
  </w:num>
  <w:num w:numId="6">
    <w:abstractNumId w:val="15"/>
  </w:num>
  <w:num w:numId="7">
    <w:abstractNumId w:val="6"/>
  </w:num>
  <w:num w:numId="8">
    <w:abstractNumId w:val="6"/>
  </w:num>
  <w:num w:numId="9">
    <w:abstractNumId w:val="18"/>
  </w:num>
  <w:num w:numId="10">
    <w:abstractNumId w:val="6"/>
  </w:num>
  <w:num w:numId="11">
    <w:abstractNumId w:val="20"/>
  </w:num>
  <w:num w:numId="12">
    <w:abstractNumId w:val="19"/>
  </w:num>
  <w:num w:numId="13">
    <w:abstractNumId w:val="12"/>
  </w:num>
  <w:num w:numId="14">
    <w:abstractNumId w:val="5"/>
  </w:num>
  <w:num w:numId="15">
    <w:abstractNumId w:val="10"/>
  </w:num>
  <w:num w:numId="16">
    <w:abstractNumId w:val="14"/>
  </w:num>
  <w:num w:numId="17">
    <w:abstractNumId w:val="4"/>
  </w:num>
  <w:num w:numId="18">
    <w:abstractNumId w:val="16"/>
  </w:num>
  <w:num w:numId="19">
    <w:abstractNumId w:val="17"/>
  </w:num>
  <w:num w:numId="20">
    <w:abstractNumId w:val="11"/>
  </w:num>
  <w:num w:numId="21">
    <w:abstractNumId w:val="13"/>
  </w:num>
  <w:num w:numId="22">
    <w:abstractNumId w:val="8"/>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5D"/>
    <w:rsid w:val="000154D9"/>
    <w:rsid w:val="00024FF3"/>
    <w:rsid w:val="0003594B"/>
    <w:rsid w:val="00036164"/>
    <w:rsid w:val="0005720C"/>
    <w:rsid w:val="00070124"/>
    <w:rsid w:val="000729A8"/>
    <w:rsid w:val="00077773"/>
    <w:rsid w:val="00087985"/>
    <w:rsid w:val="000945C0"/>
    <w:rsid w:val="000950EF"/>
    <w:rsid w:val="000B7543"/>
    <w:rsid w:val="000C6DAB"/>
    <w:rsid w:val="000D2512"/>
    <w:rsid w:val="000E2443"/>
    <w:rsid w:val="000E78F3"/>
    <w:rsid w:val="000F355C"/>
    <w:rsid w:val="001123B8"/>
    <w:rsid w:val="001128FD"/>
    <w:rsid w:val="0012311F"/>
    <w:rsid w:val="00123A4C"/>
    <w:rsid w:val="001361DE"/>
    <w:rsid w:val="00151FBB"/>
    <w:rsid w:val="001620B3"/>
    <w:rsid w:val="00165BCD"/>
    <w:rsid w:val="00172E0C"/>
    <w:rsid w:val="001773E6"/>
    <w:rsid w:val="00177B29"/>
    <w:rsid w:val="0018038D"/>
    <w:rsid w:val="00182A6E"/>
    <w:rsid w:val="001912A0"/>
    <w:rsid w:val="001B14FC"/>
    <w:rsid w:val="001B28CE"/>
    <w:rsid w:val="001C0EBD"/>
    <w:rsid w:val="001C0ED1"/>
    <w:rsid w:val="001C56E7"/>
    <w:rsid w:val="001D1F87"/>
    <w:rsid w:val="001D6A54"/>
    <w:rsid w:val="001E37BC"/>
    <w:rsid w:val="001F1DF5"/>
    <w:rsid w:val="001F2972"/>
    <w:rsid w:val="001F3411"/>
    <w:rsid w:val="001F3B7A"/>
    <w:rsid w:val="00224675"/>
    <w:rsid w:val="00230E26"/>
    <w:rsid w:val="00236AC4"/>
    <w:rsid w:val="0024798F"/>
    <w:rsid w:val="00250748"/>
    <w:rsid w:val="0026495A"/>
    <w:rsid w:val="002924BC"/>
    <w:rsid w:val="002959AF"/>
    <w:rsid w:val="002A2659"/>
    <w:rsid w:val="002A367E"/>
    <w:rsid w:val="002A3A4E"/>
    <w:rsid w:val="002A47D1"/>
    <w:rsid w:val="002B039A"/>
    <w:rsid w:val="002B2A91"/>
    <w:rsid w:val="002B7867"/>
    <w:rsid w:val="002C58EC"/>
    <w:rsid w:val="002D0892"/>
    <w:rsid w:val="002D5E14"/>
    <w:rsid w:val="002D784F"/>
    <w:rsid w:val="002E174E"/>
    <w:rsid w:val="002E3761"/>
    <w:rsid w:val="002E51B6"/>
    <w:rsid w:val="002F7156"/>
    <w:rsid w:val="00303E6B"/>
    <w:rsid w:val="00306008"/>
    <w:rsid w:val="00306611"/>
    <w:rsid w:val="003075B6"/>
    <w:rsid w:val="00312B77"/>
    <w:rsid w:val="00320652"/>
    <w:rsid w:val="00321AEA"/>
    <w:rsid w:val="0032577E"/>
    <w:rsid w:val="00330A73"/>
    <w:rsid w:val="003422BC"/>
    <w:rsid w:val="00345435"/>
    <w:rsid w:val="00350A0C"/>
    <w:rsid w:val="003533CD"/>
    <w:rsid w:val="003648CA"/>
    <w:rsid w:val="0037346D"/>
    <w:rsid w:val="003737A5"/>
    <w:rsid w:val="003770FB"/>
    <w:rsid w:val="003827DB"/>
    <w:rsid w:val="00386ECA"/>
    <w:rsid w:val="003916FA"/>
    <w:rsid w:val="00395E9A"/>
    <w:rsid w:val="00397905"/>
    <w:rsid w:val="003A04C1"/>
    <w:rsid w:val="003A2550"/>
    <w:rsid w:val="003A2592"/>
    <w:rsid w:val="003C0C81"/>
    <w:rsid w:val="003C5DAC"/>
    <w:rsid w:val="003D299A"/>
    <w:rsid w:val="003E0705"/>
    <w:rsid w:val="003E5E5E"/>
    <w:rsid w:val="003E6959"/>
    <w:rsid w:val="003F16F7"/>
    <w:rsid w:val="003F73DF"/>
    <w:rsid w:val="0040300F"/>
    <w:rsid w:val="00405C6F"/>
    <w:rsid w:val="004073F0"/>
    <w:rsid w:val="0040776E"/>
    <w:rsid w:val="00412DB8"/>
    <w:rsid w:val="00436785"/>
    <w:rsid w:val="0043744C"/>
    <w:rsid w:val="00441633"/>
    <w:rsid w:val="00445EDA"/>
    <w:rsid w:val="004564B4"/>
    <w:rsid w:val="004665A0"/>
    <w:rsid w:val="00473F61"/>
    <w:rsid w:val="00476C74"/>
    <w:rsid w:val="00477D31"/>
    <w:rsid w:val="00481C21"/>
    <w:rsid w:val="004826F0"/>
    <w:rsid w:val="0049458D"/>
    <w:rsid w:val="004A1DD8"/>
    <w:rsid w:val="004A5654"/>
    <w:rsid w:val="004A7145"/>
    <w:rsid w:val="004B1ABB"/>
    <w:rsid w:val="004C3921"/>
    <w:rsid w:val="004D7341"/>
    <w:rsid w:val="004E69DE"/>
    <w:rsid w:val="004F7BEF"/>
    <w:rsid w:val="0050551A"/>
    <w:rsid w:val="005106EE"/>
    <w:rsid w:val="00510B7E"/>
    <w:rsid w:val="00511A56"/>
    <w:rsid w:val="00511B0A"/>
    <w:rsid w:val="00521DC6"/>
    <w:rsid w:val="0052661E"/>
    <w:rsid w:val="005366C1"/>
    <w:rsid w:val="00536A61"/>
    <w:rsid w:val="00545AED"/>
    <w:rsid w:val="00556487"/>
    <w:rsid w:val="005624DD"/>
    <w:rsid w:val="00562567"/>
    <w:rsid w:val="005644BB"/>
    <w:rsid w:val="00570A5D"/>
    <w:rsid w:val="005756B2"/>
    <w:rsid w:val="00576203"/>
    <w:rsid w:val="00584AAC"/>
    <w:rsid w:val="00584E88"/>
    <w:rsid w:val="005A2A94"/>
    <w:rsid w:val="005A7239"/>
    <w:rsid w:val="005C1BDF"/>
    <w:rsid w:val="005C2E6F"/>
    <w:rsid w:val="005C2F6C"/>
    <w:rsid w:val="005C4A52"/>
    <w:rsid w:val="005D4981"/>
    <w:rsid w:val="005D5D5D"/>
    <w:rsid w:val="005D6004"/>
    <w:rsid w:val="005E5C77"/>
    <w:rsid w:val="005F1F00"/>
    <w:rsid w:val="006106C1"/>
    <w:rsid w:val="0062195F"/>
    <w:rsid w:val="00626579"/>
    <w:rsid w:val="00635DC9"/>
    <w:rsid w:val="00650AEF"/>
    <w:rsid w:val="00652257"/>
    <w:rsid w:val="006545FC"/>
    <w:rsid w:val="00654A22"/>
    <w:rsid w:val="00661C60"/>
    <w:rsid w:val="00675A8B"/>
    <w:rsid w:val="00675AB0"/>
    <w:rsid w:val="00680746"/>
    <w:rsid w:val="00687C06"/>
    <w:rsid w:val="00697939"/>
    <w:rsid w:val="006A4574"/>
    <w:rsid w:val="006A602E"/>
    <w:rsid w:val="006A6F7A"/>
    <w:rsid w:val="006A6FCE"/>
    <w:rsid w:val="006A7342"/>
    <w:rsid w:val="006B1553"/>
    <w:rsid w:val="006B387D"/>
    <w:rsid w:val="006B7C0C"/>
    <w:rsid w:val="006C5AC3"/>
    <w:rsid w:val="006C6FE1"/>
    <w:rsid w:val="006D2EBF"/>
    <w:rsid w:val="006D314C"/>
    <w:rsid w:val="006D3499"/>
    <w:rsid w:val="006D36EC"/>
    <w:rsid w:val="006D75D2"/>
    <w:rsid w:val="006E0CC9"/>
    <w:rsid w:val="006E4E2A"/>
    <w:rsid w:val="006E6DF2"/>
    <w:rsid w:val="006F1570"/>
    <w:rsid w:val="006F3911"/>
    <w:rsid w:val="0070164D"/>
    <w:rsid w:val="0070611B"/>
    <w:rsid w:val="007066D9"/>
    <w:rsid w:val="00710696"/>
    <w:rsid w:val="00714C90"/>
    <w:rsid w:val="007239D0"/>
    <w:rsid w:val="00724914"/>
    <w:rsid w:val="00736379"/>
    <w:rsid w:val="00736584"/>
    <w:rsid w:val="00743EA4"/>
    <w:rsid w:val="00755974"/>
    <w:rsid w:val="00760150"/>
    <w:rsid w:val="007632F1"/>
    <w:rsid w:val="007634D4"/>
    <w:rsid w:val="00767226"/>
    <w:rsid w:val="00784170"/>
    <w:rsid w:val="00793AB5"/>
    <w:rsid w:val="00794CF6"/>
    <w:rsid w:val="007B6A7A"/>
    <w:rsid w:val="007C00A0"/>
    <w:rsid w:val="007C29FD"/>
    <w:rsid w:val="007D283A"/>
    <w:rsid w:val="007D66D9"/>
    <w:rsid w:val="007E0880"/>
    <w:rsid w:val="007E3712"/>
    <w:rsid w:val="007F2A24"/>
    <w:rsid w:val="007F5DA6"/>
    <w:rsid w:val="008009D1"/>
    <w:rsid w:val="00803293"/>
    <w:rsid w:val="0080684D"/>
    <w:rsid w:val="008100FD"/>
    <w:rsid w:val="00813F92"/>
    <w:rsid w:val="0083486C"/>
    <w:rsid w:val="00842575"/>
    <w:rsid w:val="008505FD"/>
    <w:rsid w:val="008542F9"/>
    <w:rsid w:val="00854B5F"/>
    <w:rsid w:val="008606E9"/>
    <w:rsid w:val="008608AA"/>
    <w:rsid w:val="008618B2"/>
    <w:rsid w:val="00861D09"/>
    <w:rsid w:val="00864900"/>
    <w:rsid w:val="00866A16"/>
    <w:rsid w:val="008726AE"/>
    <w:rsid w:val="008808EC"/>
    <w:rsid w:val="008857B1"/>
    <w:rsid w:val="008A6E7A"/>
    <w:rsid w:val="008C4641"/>
    <w:rsid w:val="008C6048"/>
    <w:rsid w:val="008C6277"/>
    <w:rsid w:val="008D19EA"/>
    <w:rsid w:val="008D30B1"/>
    <w:rsid w:val="008E0E40"/>
    <w:rsid w:val="008E230A"/>
    <w:rsid w:val="008F438C"/>
    <w:rsid w:val="008F4B4A"/>
    <w:rsid w:val="00904746"/>
    <w:rsid w:val="00907676"/>
    <w:rsid w:val="009109EA"/>
    <w:rsid w:val="00915C9E"/>
    <w:rsid w:val="00916ABE"/>
    <w:rsid w:val="0091748C"/>
    <w:rsid w:val="009273FB"/>
    <w:rsid w:val="009343A2"/>
    <w:rsid w:val="00936D4B"/>
    <w:rsid w:val="00941C5E"/>
    <w:rsid w:val="00947DBE"/>
    <w:rsid w:val="00947FA4"/>
    <w:rsid w:val="0095064C"/>
    <w:rsid w:val="00951E8F"/>
    <w:rsid w:val="00952774"/>
    <w:rsid w:val="00955CFE"/>
    <w:rsid w:val="00957F26"/>
    <w:rsid w:val="00962020"/>
    <w:rsid w:val="00964E1B"/>
    <w:rsid w:val="00966019"/>
    <w:rsid w:val="009674AC"/>
    <w:rsid w:val="00970EBA"/>
    <w:rsid w:val="00971C6E"/>
    <w:rsid w:val="00975A6A"/>
    <w:rsid w:val="00976084"/>
    <w:rsid w:val="00982066"/>
    <w:rsid w:val="009901CD"/>
    <w:rsid w:val="00995241"/>
    <w:rsid w:val="009A675C"/>
    <w:rsid w:val="009B3150"/>
    <w:rsid w:val="009C3320"/>
    <w:rsid w:val="009C7633"/>
    <w:rsid w:val="009D4975"/>
    <w:rsid w:val="009E0596"/>
    <w:rsid w:val="009E1AAC"/>
    <w:rsid w:val="009E4457"/>
    <w:rsid w:val="009E5A2E"/>
    <w:rsid w:val="009F34F6"/>
    <w:rsid w:val="009F3ACA"/>
    <w:rsid w:val="009F5FDD"/>
    <w:rsid w:val="00A00AB9"/>
    <w:rsid w:val="00A00D66"/>
    <w:rsid w:val="00A0311A"/>
    <w:rsid w:val="00A056FF"/>
    <w:rsid w:val="00A1377E"/>
    <w:rsid w:val="00A14548"/>
    <w:rsid w:val="00A177F9"/>
    <w:rsid w:val="00A3764F"/>
    <w:rsid w:val="00A377F2"/>
    <w:rsid w:val="00A41B8D"/>
    <w:rsid w:val="00A46DCD"/>
    <w:rsid w:val="00A50837"/>
    <w:rsid w:val="00A53ACF"/>
    <w:rsid w:val="00A614E5"/>
    <w:rsid w:val="00A626A1"/>
    <w:rsid w:val="00A82D6E"/>
    <w:rsid w:val="00A94D35"/>
    <w:rsid w:val="00AA2764"/>
    <w:rsid w:val="00AA3AB2"/>
    <w:rsid w:val="00AB0247"/>
    <w:rsid w:val="00AC0795"/>
    <w:rsid w:val="00AC2632"/>
    <w:rsid w:val="00AC446E"/>
    <w:rsid w:val="00AD4BFC"/>
    <w:rsid w:val="00AD4FE6"/>
    <w:rsid w:val="00AD711C"/>
    <w:rsid w:val="00AE0B42"/>
    <w:rsid w:val="00AE28F9"/>
    <w:rsid w:val="00AE6D24"/>
    <w:rsid w:val="00AF1038"/>
    <w:rsid w:val="00B112CE"/>
    <w:rsid w:val="00B16FDA"/>
    <w:rsid w:val="00B253C7"/>
    <w:rsid w:val="00B27BD8"/>
    <w:rsid w:val="00B31D9B"/>
    <w:rsid w:val="00B322E5"/>
    <w:rsid w:val="00B36C7B"/>
    <w:rsid w:val="00B416B2"/>
    <w:rsid w:val="00B42834"/>
    <w:rsid w:val="00B44E45"/>
    <w:rsid w:val="00B52C0B"/>
    <w:rsid w:val="00B60987"/>
    <w:rsid w:val="00B6187B"/>
    <w:rsid w:val="00B71A38"/>
    <w:rsid w:val="00B85F8C"/>
    <w:rsid w:val="00B9355C"/>
    <w:rsid w:val="00BA2A62"/>
    <w:rsid w:val="00BA70B6"/>
    <w:rsid w:val="00BB01D1"/>
    <w:rsid w:val="00BB36BD"/>
    <w:rsid w:val="00BC2934"/>
    <w:rsid w:val="00BD258B"/>
    <w:rsid w:val="00BD63E6"/>
    <w:rsid w:val="00BE46B8"/>
    <w:rsid w:val="00BF641C"/>
    <w:rsid w:val="00C0087C"/>
    <w:rsid w:val="00C038B2"/>
    <w:rsid w:val="00C11B43"/>
    <w:rsid w:val="00C11BEC"/>
    <w:rsid w:val="00C231E9"/>
    <w:rsid w:val="00C30A1F"/>
    <w:rsid w:val="00C3494C"/>
    <w:rsid w:val="00C37C6B"/>
    <w:rsid w:val="00C37D93"/>
    <w:rsid w:val="00C431B4"/>
    <w:rsid w:val="00C4582C"/>
    <w:rsid w:val="00C512DC"/>
    <w:rsid w:val="00C562F8"/>
    <w:rsid w:val="00C753D7"/>
    <w:rsid w:val="00C778D3"/>
    <w:rsid w:val="00C9124B"/>
    <w:rsid w:val="00C954BA"/>
    <w:rsid w:val="00CA177C"/>
    <w:rsid w:val="00CA7EED"/>
    <w:rsid w:val="00CB1F39"/>
    <w:rsid w:val="00CB2968"/>
    <w:rsid w:val="00CB3C9E"/>
    <w:rsid w:val="00CC11F8"/>
    <w:rsid w:val="00CC6DC7"/>
    <w:rsid w:val="00CC72ED"/>
    <w:rsid w:val="00CD2E60"/>
    <w:rsid w:val="00CE04CE"/>
    <w:rsid w:val="00CE186C"/>
    <w:rsid w:val="00CE18D1"/>
    <w:rsid w:val="00CE5C65"/>
    <w:rsid w:val="00CF60D1"/>
    <w:rsid w:val="00D01104"/>
    <w:rsid w:val="00D162E8"/>
    <w:rsid w:val="00D215A4"/>
    <w:rsid w:val="00D261E5"/>
    <w:rsid w:val="00D26343"/>
    <w:rsid w:val="00D27E26"/>
    <w:rsid w:val="00D32360"/>
    <w:rsid w:val="00D32F86"/>
    <w:rsid w:val="00D330EA"/>
    <w:rsid w:val="00D33FEC"/>
    <w:rsid w:val="00D35043"/>
    <w:rsid w:val="00D402DC"/>
    <w:rsid w:val="00D44280"/>
    <w:rsid w:val="00D45620"/>
    <w:rsid w:val="00D45B69"/>
    <w:rsid w:val="00D506E0"/>
    <w:rsid w:val="00D55C8C"/>
    <w:rsid w:val="00D60DF8"/>
    <w:rsid w:val="00D644CB"/>
    <w:rsid w:val="00D67D9F"/>
    <w:rsid w:val="00D70B4C"/>
    <w:rsid w:val="00D71487"/>
    <w:rsid w:val="00D73F02"/>
    <w:rsid w:val="00D74793"/>
    <w:rsid w:val="00D76D1C"/>
    <w:rsid w:val="00D951F4"/>
    <w:rsid w:val="00DA545B"/>
    <w:rsid w:val="00DB1DFD"/>
    <w:rsid w:val="00DB7722"/>
    <w:rsid w:val="00DC069B"/>
    <w:rsid w:val="00DC3275"/>
    <w:rsid w:val="00DC334F"/>
    <w:rsid w:val="00DC37DD"/>
    <w:rsid w:val="00DC4DEE"/>
    <w:rsid w:val="00DD01B4"/>
    <w:rsid w:val="00DD1CE3"/>
    <w:rsid w:val="00DE10DC"/>
    <w:rsid w:val="00DE59F1"/>
    <w:rsid w:val="00DF02B3"/>
    <w:rsid w:val="00DF153A"/>
    <w:rsid w:val="00E03872"/>
    <w:rsid w:val="00E1224F"/>
    <w:rsid w:val="00E15119"/>
    <w:rsid w:val="00E16C9A"/>
    <w:rsid w:val="00E25B99"/>
    <w:rsid w:val="00E32504"/>
    <w:rsid w:val="00E32857"/>
    <w:rsid w:val="00E32B48"/>
    <w:rsid w:val="00E34102"/>
    <w:rsid w:val="00E53AE0"/>
    <w:rsid w:val="00E57DC9"/>
    <w:rsid w:val="00E638E2"/>
    <w:rsid w:val="00E7489E"/>
    <w:rsid w:val="00E821F7"/>
    <w:rsid w:val="00E9126F"/>
    <w:rsid w:val="00E957EA"/>
    <w:rsid w:val="00E96A47"/>
    <w:rsid w:val="00E97204"/>
    <w:rsid w:val="00EA33E2"/>
    <w:rsid w:val="00EA6DE4"/>
    <w:rsid w:val="00EB19A1"/>
    <w:rsid w:val="00EB46EB"/>
    <w:rsid w:val="00EB52B5"/>
    <w:rsid w:val="00EC3DB9"/>
    <w:rsid w:val="00ED3C1C"/>
    <w:rsid w:val="00ED5C50"/>
    <w:rsid w:val="00EE343E"/>
    <w:rsid w:val="00EF3420"/>
    <w:rsid w:val="00EF74D1"/>
    <w:rsid w:val="00F0520E"/>
    <w:rsid w:val="00F15C8A"/>
    <w:rsid w:val="00F169C6"/>
    <w:rsid w:val="00F46EEC"/>
    <w:rsid w:val="00F51424"/>
    <w:rsid w:val="00F54F44"/>
    <w:rsid w:val="00F72DBD"/>
    <w:rsid w:val="00F9055F"/>
    <w:rsid w:val="00F90567"/>
    <w:rsid w:val="00F92C8E"/>
    <w:rsid w:val="00F97C0C"/>
    <w:rsid w:val="00FA2BAE"/>
    <w:rsid w:val="00FB0B84"/>
    <w:rsid w:val="00FB19DD"/>
    <w:rsid w:val="00FB25CB"/>
    <w:rsid w:val="00FB59B2"/>
    <w:rsid w:val="00FB7F77"/>
    <w:rsid w:val="00FC736E"/>
    <w:rsid w:val="00FD073A"/>
    <w:rsid w:val="00FE2CBF"/>
    <w:rsid w:val="00FE348E"/>
    <w:rsid w:val="00FF2A82"/>
    <w:rsid w:val="00FF3AC1"/>
    <w:rsid w:val="00FF459D"/>
    <w:rsid w:val="00FF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A2F3"/>
  <w15:chartTrackingRefBased/>
  <w15:docId w15:val="{94CBC39A-7F5A-44C8-B71E-A3BE6D9D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34"/>
    <w:pPr>
      <w:spacing w:before="240" w:after="240" w:line="240" w:lineRule="auto"/>
      <w:jc w:val="both"/>
    </w:pPr>
    <w:rPr>
      <w:rFonts w:ascii="Arial" w:hAnsi="Arial"/>
      <w:sz w:val="24"/>
    </w:rPr>
  </w:style>
  <w:style w:type="paragraph" w:styleId="Heading1">
    <w:name w:val="heading 1"/>
    <w:basedOn w:val="Normal"/>
    <w:next w:val="Normal"/>
    <w:link w:val="Heading1Char"/>
    <w:uiPriority w:val="9"/>
    <w:qFormat/>
    <w:rsid w:val="00E53AE0"/>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687C06"/>
    <w:pPr>
      <w:keepNext/>
      <w:keepLines/>
      <w:jc w:val="center"/>
      <w:outlineLvl w:val="1"/>
    </w:pPr>
    <w:rPr>
      <w:rFonts w:eastAsiaTheme="majorEastAsia" w:cstheme="majorBidi"/>
      <w:b/>
      <w:color w:val="1F3864" w:themeColor="accent5" w:themeShade="80"/>
      <w:szCs w:val="26"/>
    </w:rPr>
  </w:style>
  <w:style w:type="paragraph" w:styleId="Heading3">
    <w:name w:val="heading 3"/>
    <w:basedOn w:val="Normal"/>
    <w:next w:val="Normal"/>
    <w:link w:val="Heading3Char"/>
    <w:autoRedefine/>
    <w:uiPriority w:val="9"/>
    <w:unhideWhenUsed/>
    <w:qFormat/>
    <w:rsid w:val="00DA545B"/>
    <w:pPr>
      <w:keepNext/>
      <w:keepLines/>
      <w:outlineLvl w:val="2"/>
    </w:pPr>
    <w:rPr>
      <w:rFonts w:eastAsiaTheme="majorEastAsia" w:cstheme="majorBidi"/>
      <w:b/>
      <w:i/>
      <w:szCs w:val="24"/>
    </w:rPr>
  </w:style>
  <w:style w:type="paragraph" w:styleId="Heading4">
    <w:name w:val="heading 4"/>
    <w:aliases w:val="Footnote text"/>
    <w:basedOn w:val="FootnoteText"/>
    <w:next w:val="FootnoteText"/>
    <w:link w:val="Heading4Char"/>
    <w:autoRedefine/>
    <w:uiPriority w:val="9"/>
    <w:unhideWhenUsed/>
    <w:qFormat/>
    <w:rsid w:val="00CE5C65"/>
    <w:pPr>
      <w:keepNext/>
      <w:keepLines/>
      <w:tabs>
        <w:tab w:val="left" w:pos="284"/>
      </w:tabs>
      <w:ind w:left="284" w:hanging="284"/>
      <w:mirrorIndents/>
      <w:outlineLvl w:val="3"/>
    </w:pPr>
    <w:rPr>
      <w:rFonts w:eastAsiaTheme="majorEastAsia" w:cstheme="majorBidi"/>
      <w:iCs/>
    </w:rPr>
  </w:style>
  <w:style w:type="paragraph" w:styleId="Heading5">
    <w:name w:val="heading 5"/>
    <w:aliases w:val="Bullet"/>
    <w:basedOn w:val="ListBullet"/>
    <w:next w:val="ListBullet"/>
    <w:link w:val="Heading5Char"/>
    <w:autoRedefine/>
    <w:uiPriority w:val="9"/>
    <w:unhideWhenUsed/>
    <w:qFormat/>
    <w:rsid w:val="00E96A47"/>
    <w:pPr>
      <w:numPr>
        <w:numId w:val="6"/>
      </w:numPr>
      <w:spacing w:after="120"/>
      <w:ind w:left="714" w:hanging="357"/>
      <w:mirrorIndent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umbered paragraph"/>
    <w:autoRedefine/>
    <w:uiPriority w:val="1"/>
    <w:qFormat/>
    <w:rsid w:val="00F46EEC"/>
    <w:pPr>
      <w:numPr>
        <w:numId w:val="2"/>
      </w:numPr>
      <w:spacing w:before="240" w:after="240" w:line="240" w:lineRule="auto"/>
      <w:jc w:val="both"/>
    </w:pPr>
    <w:rPr>
      <w:rFonts w:ascii="Arial" w:hAnsi="Arial"/>
      <w:b/>
      <w:bCs/>
      <w:sz w:val="24"/>
    </w:rPr>
  </w:style>
  <w:style w:type="character" w:customStyle="1" w:styleId="Heading1Char">
    <w:name w:val="Heading 1 Char"/>
    <w:basedOn w:val="DefaultParagraphFont"/>
    <w:link w:val="Heading1"/>
    <w:uiPriority w:val="9"/>
    <w:rsid w:val="00E53AE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87C06"/>
    <w:rPr>
      <w:rFonts w:ascii="Arial" w:eastAsiaTheme="majorEastAsia" w:hAnsi="Arial" w:cstheme="majorBidi"/>
      <w:b/>
      <w:color w:val="1F3864" w:themeColor="accent5" w:themeShade="80"/>
      <w:sz w:val="24"/>
      <w:szCs w:val="26"/>
    </w:rPr>
  </w:style>
  <w:style w:type="character" w:customStyle="1" w:styleId="Heading3Char">
    <w:name w:val="Heading 3 Char"/>
    <w:basedOn w:val="DefaultParagraphFont"/>
    <w:link w:val="Heading3"/>
    <w:uiPriority w:val="9"/>
    <w:rsid w:val="00DA545B"/>
    <w:rPr>
      <w:rFonts w:ascii="Arial" w:eastAsiaTheme="majorEastAsia" w:hAnsi="Arial" w:cstheme="majorBidi"/>
      <w:b/>
      <w:i/>
      <w:sz w:val="24"/>
      <w:szCs w:val="24"/>
    </w:rPr>
  </w:style>
  <w:style w:type="character" w:customStyle="1" w:styleId="Heading4Char">
    <w:name w:val="Heading 4 Char"/>
    <w:aliases w:val="Footnote text Char"/>
    <w:basedOn w:val="DefaultParagraphFont"/>
    <w:link w:val="Heading4"/>
    <w:uiPriority w:val="9"/>
    <w:rsid w:val="00CE5C65"/>
    <w:rPr>
      <w:rFonts w:ascii="Arial" w:eastAsiaTheme="majorEastAsia" w:hAnsi="Arial" w:cstheme="majorBidi"/>
      <w:iCs/>
      <w:sz w:val="20"/>
      <w:szCs w:val="20"/>
    </w:rPr>
  </w:style>
  <w:style w:type="character" w:styleId="FootnoteReference">
    <w:name w:val="footnote reference"/>
    <w:basedOn w:val="DefaultParagraphFont"/>
    <w:uiPriority w:val="99"/>
    <w:semiHidden/>
    <w:unhideWhenUsed/>
    <w:rsid w:val="00CE5C65"/>
    <w:rPr>
      <w:vertAlign w:val="superscript"/>
    </w:rPr>
  </w:style>
  <w:style w:type="paragraph" w:styleId="FootnoteText">
    <w:name w:val="footnote text"/>
    <w:basedOn w:val="Normal"/>
    <w:link w:val="FootnoteTextChar"/>
    <w:uiPriority w:val="99"/>
    <w:semiHidden/>
    <w:unhideWhenUsed/>
    <w:rsid w:val="00AE28F9"/>
    <w:pPr>
      <w:spacing w:before="0" w:after="0"/>
    </w:pPr>
    <w:rPr>
      <w:sz w:val="20"/>
      <w:szCs w:val="20"/>
    </w:rPr>
  </w:style>
  <w:style w:type="character" w:customStyle="1" w:styleId="FootnoteTextChar">
    <w:name w:val="Footnote Text Char"/>
    <w:basedOn w:val="DefaultParagraphFont"/>
    <w:link w:val="FootnoteText"/>
    <w:uiPriority w:val="99"/>
    <w:semiHidden/>
    <w:rsid w:val="00AE28F9"/>
    <w:rPr>
      <w:rFonts w:ascii="Arial" w:hAnsi="Arial"/>
      <w:sz w:val="20"/>
      <w:szCs w:val="20"/>
    </w:rPr>
  </w:style>
  <w:style w:type="character" w:customStyle="1" w:styleId="Heading5Char">
    <w:name w:val="Heading 5 Char"/>
    <w:aliases w:val="Bullet Char"/>
    <w:basedOn w:val="DefaultParagraphFont"/>
    <w:link w:val="Heading5"/>
    <w:uiPriority w:val="9"/>
    <w:rsid w:val="00E96A47"/>
    <w:rPr>
      <w:rFonts w:ascii="Arial" w:eastAsiaTheme="majorEastAsia" w:hAnsi="Arial" w:cstheme="majorBidi"/>
      <w:sz w:val="24"/>
    </w:rPr>
  </w:style>
  <w:style w:type="paragraph" w:styleId="Header">
    <w:name w:val="header"/>
    <w:basedOn w:val="Normal"/>
    <w:link w:val="HeaderChar"/>
    <w:uiPriority w:val="99"/>
    <w:unhideWhenUsed/>
    <w:rsid w:val="00A41B8D"/>
    <w:pPr>
      <w:tabs>
        <w:tab w:val="center" w:pos="4513"/>
        <w:tab w:val="right" w:pos="9026"/>
      </w:tabs>
      <w:spacing w:before="0" w:after="0"/>
    </w:pPr>
  </w:style>
  <w:style w:type="paragraph" w:styleId="ListBullet">
    <w:name w:val="List Bullet"/>
    <w:basedOn w:val="Normal"/>
    <w:uiPriority w:val="99"/>
    <w:semiHidden/>
    <w:unhideWhenUsed/>
    <w:rsid w:val="00AD4FE6"/>
    <w:pPr>
      <w:numPr>
        <w:numId w:val="3"/>
      </w:numPr>
      <w:contextualSpacing/>
    </w:pPr>
  </w:style>
  <w:style w:type="character" w:customStyle="1" w:styleId="HeaderChar">
    <w:name w:val="Header Char"/>
    <w:basedOn w:val="DefaultParagraphFont"/>
    <w:link w:val="Header"/>
    <w:uiPriority w:val="99"/>
    <w:rsid w:val="00A41B8D"/>
    <w:rPr>
      <w:rFonts w:ascii="Arial" w:hAnsi="Arial"/>
      <w:sz w:val="24"/>
    </w:rPr>
  </w:style>
  <w:style w:type="paragraph" w:styleId="Footer">
    <w:name w:val="footer"/>
    <w:basedOn w:val="Normal"/>
    <w:link w:val="FooterChar"/>
    <w:uiPriority w:val="99"/>
    <w:unhideWhenUsed/>
    <w:rsid w:val="00A41B8D"/>
    <w:pPr>
      <w:tabs>
        <w:tab w:val="center" w:pos="4513"/>
        <w:tab w:val="right" w:pos="9026"/>
      </w:tabs>
      <w:spacing w:before="0" w:after="0"/>
    </w:pPr>
  </w:style>
  <w:style w:type="character" w:customStyle="1" w:styleId="FooterChar">
    <w:name w:val="Footer Char"/>
    <w:basedOn w:val="DefaultParagraphFont"/>
    <w:link w:val="Footer"/>
    <w:uiPriority w:val="99"/>
    <w:rsid w:val="00A41B8D"/>
    <w:rPr>
      <w:rFonts w:ascii="Arial" w:hAnsi="Arial"/>
      <w:sz w:val="24"/>
    </w:rPr>
  </w:style>
  <w:style w:type="table" w:styleId="TableGrid">
    <w:name w:val="Table Grid"/>
    <w:basedOn w:val="TableNormal"/>
    <w:uiPriority w:val="39"/>
    <w:rsid w:val="0062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FE1"/>
    <w:rPr>
      <w:color w:val="0563C1" w:themeColor="hyperlink"/>
      <w:u w:val="single"/>
    </w:rPr>
  </w:style>
  <w:style w:type="character" w:styleId="UnresolvedMention">
    <w:name w:val="Unresolved Mention"/>
    <w:basedOn w:val="DefaultParagraphFont"/>
    <w:uiPriority w:val="99"/>
    <w:semiHidden/>
    <w:unhideWhenUsed/>
    <w:rsid w:val="006C6FE1"/>
    <w:rPr>
      <w:color w:val="605E5C"/>
      <w:shd w:val="clear" w:color="auto" w:fill="E1DFDD"/>
    </w:rPr>
  </w:style>
  <w:style w:type="paragraph" w:styleId="ListParagraph">
    <w:name w:val="List Paragraph"/>
    <w:basedOn w:val="Normal"/>
    <w:uiPriority w:val="34"/>
    <w:qFormat/>
    <w:rsid w:val="00536A61"/>
    <w:pPr>
      <w:ind w:left="720"/>
      <w:contextualSpacing/>
    </w:pPr>
  </w:style>
  <w:style w:type="paragraph" w:styleId="NormalWeb">
    <w:name w:val="Normal (Web)"/>
    <w:basedOn w:val="Normal"/>
    <w:uiPriority w:val="99"/>
    <w:semiHidden/>
    <w:unhideWhenUsed/>
    <w:rsid w:val="00D70B4C"/>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70B4C"/>
    <w:rPr>
      <w:b/>
      <w:bCs/>
    </w:rPr>
  </w:style>
  <w:style w:type="character" w:styleId="FollowedHyperlink">
    <w:name w:val="FollowedHyperlink"/>
    <w:basedOn w:val="DefaultParagraphFont"/>
    <w:uiPriority w:val="99"/>
    <w:semiHidden/>
    <w:unhideWhenUsed/>
    <w:rsid w:val="00D70B4C"/>
    <w:rPr>
      <w:color w:val="954F72" w:themeColor="followedHyperlink"/>
      <w:u w:val="single"/>
    </w:rPr>
  </w:style>
  <w:style w:type="character" w:styleId="CommentReference">
    <w:name w:val="annotation reference"/>
    <w:basedOn w:val="DefaultParagraphFont"/>
    <w:uiPriority w:val="99"/>
    <w:semiHidden/>
    <w:unhideWhenUsed/>
    <w:rsid w:val="002924BC"/>
    <w:rPr>
      <w:sz w:val="16"/>
      <w:szCs w:val="16"/>
    </w:rPr>
  </w:style>
  <w:style w:type="paragraph" w:styleId="CommentText">
    <w:name w:val="annotation text"/>
    <w:basedOn w:val="Normal"/>
    <w:link w:val="CommentTextChar"/>
    <w:uiPriority w:val="99"/>
    <w:semiHidden/>
    <w:unhideWhenUsed/>
    <w:rsid w:val="002924BC"/>
    <w:rPr>
      <w:sz w:val="20"/>
      <w:szCs w:val="20"/>
    </w:rPr>
  </w:style>
  <w:style w:type="character" w:customStyle="1" w:styleId="CommentTextChar">
    <w:name w:val="Comment Text Char"/>
    <w:basedOn w:val="DefaultParagraphFont"/>
    <w:link w:val="CommentText"/>
    <w:uiPriority w:val="99"/>
    <w:semiHidden/>
    <w:rsid w:val="002924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24BC"/>
    <w:rPr>
      <w:b/>
      <w:bCs/>
    </w:rPr>
  </w:style>
  <w:style w:type="character" w:customStyle="1" w:styleId="CommentSubjectChar">
    <w:name w:val="Comment Subject Char"/>
    <w:basedOn w:val="CommentTextChar"/>
    <w:link w:val="CommentSubject"/>
    <w:uiPriority w:val="99"/>
    <w:semiHidden/>
    <w:rsid w:val="002924BC"/>
    <w:rPr>
      <w:rFonts w:ascii="Arial" w:hAnsi="Arial"/>
      <w:b/>
      <w:bCs/>
      <w:sz w:val="20"/>
      <w:szCs w:val="20"/>
    </w:rPr>
  </w:style>
  <w:style w:type="paragraph" w:customStyle="1" w:styleId="paragraph">
    <w:name w:val="paragraph"/>
    <w:basedOn w:val="Normal"/>
    <w:rsid w:val="00345435"/>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45435"/>
  </w:style>
  <w:style w:type="character" w:customStyle="1" w:styleId="eop">
    <w:name w:val="eop"/>
    <w:basedOn w:val="DefaultParagraphFont"/>
    <w:rsid w:val="00345435"/>
  </w:style>
  <w:style w:type="paragraph" w:styleId="Revision">
    <w:name w:val="Revision"/>
    <w:hidden/>
    <w:uiPriority w:val="99"/>
    <w:semiHidden/>
    <w:rsid w:val="00ED3C1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379">
      <w:bodyDiv w:val="1"/>
      <w:marLeft w:val="0"/>
      <w:marRight w:val="0"/>
      <w:marTop w:val="0"/>
      <w:marBottom w:val="0"/>
      <w:divBdr>
        <w:top w:val="none" w:sz="0" w:space="0" w:color="auto"/>
        <w:left w:val="none" w:sz="0" w:space="0" w:color="auto"/>
        <w:bottom w:val="none" w:sz="0" w:space="0" w:color="auto"/>
        <w:right w:val="none" w:sz="0" w:space="0" w:color="auto"/>
      </w:divBdr>
    </w:div>
    <w:div w:id="176509845">
      <w:bodyDiv w:val="1"/>
      <w:marLeft w:val="0"/>
      <w:marRight w:val="0"/>
      <w:marTop w:val="0"/>
      <w:marBottom w:val="0"/>
      <w:divBdr>
        <w:top w:val="none" w:sz="0" w:space="0" w:color="auto"/>
        <w:left w:val="none" w:sz="0" w:space="0" w:color="auto"/>
        <w:bottom w:val="none" w:sz="0" w:space="0" w:color="auto"/>
        <w:right w:val="none" w:sz="0" w:space="0" w:color="auto"/>
      </w:divBdr>
      <w:divsChild>
        <w:div w:id="1736124892">
          <w:marLeft w:val="0"/>
          <w:marRight w:val="0"/>
          <w:marTop w:val="0"/>
          <w:marBottom w:val="0"/>
          <w:divBdr>
            <w:top w:val="none" w:sz="0" w:space="0" w:color="auto"/>
            <w:left w:val="none" w:sz="0" w:space="0" w:color="auto"/>
            <w:bottom w:val="none" w:sz="0" w:space="0" w:color="auto"/>
            <w:right w:val="none" w:sz="0" w:space="0" w:color="auto"/>
          </w:divBdr>
        </w:div>
        <w:div w:id="1151290477">
          <w:marLeft w:val="0"/>
          <w:marRight w:val="0"/>
          <w:marTop w:val="0"/>
          <w:marBottom w:val="0"/>
          <w:divBdr>
            <w:top w:val="none" w:sz="0" w:space="0" w:color="auto"/>
            <w:left w:val="none" w:sz="0" w:space="0" w:color="auto"/>
            <w:bottom w:val="none" w:sz="0" w:space="0" w:color="auto"/>
            <w:right w:val="none" w:sz="0" w:space="0" w:color="auto"/>
          </w:divBdr>
        </w:div>
        <w:div w:id="1283271360">
          <w:marLeft w:val="0"/>
          <w:marRight w:val="0"/>
          <w:marTop w:val="0"/>
          <w:marBottom w:val="0"/>
          <w:divBdr>
            <w:top w:val="none" w:sz="0" w:space="0" w:color="auto"/>
            <w:left w:val="none" w:sz="0" w:space="0" w:color="auto"/>
            <w:bottom w:val="none" w:sz="0" w:space="0" w:color="auto"/>
            <w:right w:val="none" w:sz="0" w:space="0" w:color="auto"/>
          </w:divBdr>
        </w:div>
        <w:div w:id="5909113">
          <w:marLeft w:val="0"/>
          <w:marRight w:val="0"/>
          <w:marTop w:val="0"/>
          <w:marBottom w:val="0"/>
          <w:divBdr>
            <w:top w:val="none" w:sz="0" w:space="0" w:color="auto"/>
            <w:left w:val="none" w:sz="0" w:space="0" w:color="auto"/>
            <w:bottom w:val="none" w:sz="0" w:space="0" w:color="auto"/>
            <w:right w:val="none" w:sz="0" w:space="0" w:color="auto"/>
          </w:divBdr>
        </w:div>
      </w:divsChild>
    </w:div>
    <w:div w:id="258224494">
      <w:bodyDiv w:val="1"/>
      <w:marLeft w:val="0"/>
      <w:marRight w:val="0"/>
      <w:marTop w:val="0"/>
      <w:marBottom w:val="0"/>
      <w:divBdr>
        <w:top w:val="none" w:sz="0" w:space="0" w:color="auto"/>
        <w:left w:val="none" w:sz="0" w:space="0" w:color="auto"/>
        <w:bottom w:val="none" w:sz="0" w:space="0" w:color="auto"/>
        <w:right w:val="none" w:sz="0" w:space="0" w:color="auto"/>
      </w:divBdr>
    </w:div>
    <w:div w:id="486365858">
      <w:bodyDiv w:val="1"/>
      <w:marLeft w:val="0"/>
      <w:marRight w:val="0"/>
      <w:marTop w:val="0"/>
      <w:marBottom w:val="0"/>
      <w:divBdr>
        <w:top w:val="none" w:sz="0" w:space="0" w:color="auto"/>
        <w:left w:val="none" w:sz="0" w:space="0" w:color="auto"/>
        <w:bottom w:val="none" w:sz="0" w:space="0" w:color="auto"/>
        <w:right w:val="none" w:sz="0" w:space="0" w:color="auto"/>
      </w:divBdr>
      <w:divsChild>
        <w:div w:id="1662467645">
          <w:marLeft w:val="0"/>
          <w:marRight w:val="0"/>
          <w:marTop w:val="0"/>
          <w:marBottom w:val="0"/>
          <w:divBdr>
            <w:top w:val="none" w:sz="0" w:space="0" w:color="auto"/>
            <w:left w:val="none" w:sz="0" w:space="0" w:color="auto"/>
            <w:bottom w:val="none" w:sz="0" w:space="0" w:color="auto"/>
            <w:right w:val="none" w:sz="0" w:space="0" w:color="auto"/>
          </w:divBdr>
        </w:div>
        <w:div w:id="1945844062">
          <w:marLeft w:val="0"/>
          <w:marRight w:val="0"/>
          <w:marTop w:val="0"/>
          <w:marBottom w:val="0"/>
          <w:divBdr>
            <w:top w:val="none" w:sz="0" w:space="0" w:color="auto"/>
            <w:left w:val="none" w:sz="0" w:space="0" w:color="auto"/>
            <w:bottom w:val="none" w:sz="0" w:space="0" w:color="auto"/>
            <w:right w:val="none" w:sz="0" w:space="0" w:color="auto"/>
          </w:divBdr>
        </w:div>
        <w:div w:id="1307050416">
          <w:marLeft w:val="0"/>
          <w:marRight w:val="0"/>
          <w:marTop w:val="0"/>
          <w:marBottom w:val="0"/>
          <w:divBdr>
            <w:top w:val="none" w:sz="0" w:space="0" w:color="auto"/>
            <w:left w:val="none" w:sz="0" w:space="0" w:color="auto"/>
            <w:bottom w:val="none" w:sz="0" w:space="0" w:color="auto"/>
            <w:right w:val="none" w:sz="0" w:space="0" w:color="auto"/>
          </w:divBdr>
        </w:div>
        <w:div w:id="1941136642">
          <w:marLeft w:val="0"/>
          <w:marRight w:val="0"/>
          <w:marTop w:val="0"/>
          <w:marBottom w:val="0"/>
          <w:divBdr>
            <w:top w:val="none" w:sz="0" w:space="0" w:color="auto"/>
            <w:left w:val="none" w:sz="0" w:space="0" w:color="auto"/>
            <w:bottom w:val="none" w:sz="0" w:space="0" w:color="auto"/>
            <w:right w:val="none" w:sz="0" w:space="0" w:color="auto"/>
          </w:divBdr>
        </w:div>
      </w:divsChild>
    </w:div>
    <w:div w:id="11717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ffieldbioethics.org/publications/the-future-of-ageing/the-working-group" TargetMode="External"/><Relationship Id="rId18" Type="http://schemas.openxmlformats.org/officeDocument/2006/relationships/hyperlink" Target="mailto:mgray@nuffieldbioethic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uffieldbioethics.org/publications/the-future-of-ageing" TargetMode="External"/><Relationship Id="rId17" Type="http://schemas.openxmlformats.org/officeDocument/2006/relationships/hyperlink" Target="https://sciencewise.org.uk/wp-content/uploads/2019/11/Guiding-Principles.pdf" TargetMode="External"/><Relationship Id="rId2" Type="http://schemas.openxmlformats.org/officeDocument/2006/relationships/customXml" Target="../customXml/item2.xml"/><Relationship Id="rId16" Type="http://schemas.openxmlformats.org/officeDocument/2006/relationships/hyperlink" Target="https://www.nuffieldbioethics.org/publications?type=report&amp;ye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industrial-strategy-the-grand-challenges/miss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news/council-begins-series-of-creative-engagement-workshops-for-ageing-inqui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right.NUFFIELDF\AppData\Roaming\Microsoft\Templates\NCOB%20general%20template%20-%20cle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58a66a-bac9-4880-889e-ae8f4eb42e3e" xsi:nil="true"/>
    <lcf76f155ced4ddcb4097134ff3c332f xmlns="9d5a042f-4e55-493d-87b9-1a885c8beb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733273B62094894C9E2E3EE6B30A7" ma:contentTypeVersion="17" ma:contentTypeDescription="Create a new document." ma:contentTypeScope="" ma:versionID="ce1c466ebb5deafd7b9feaced4d97196">
  <xsd:schema xmlns:xsd="http://www.w3.org/2001/XMLSchema" xmlns:xs="http://www.w3.org/2001/XMLSchema" xmlns:p="http://schemas.microsoft.com/office/2006/metadata/properties" xmlns:ns1="http://schemas.microsoft.com/sharepoint/v3" xmlns:ns2="9d5a042f-4e55-493d-87b9-1a885c8bebca" xmlns:ns3="0b58a66a-bac9-4880-889e-ae8f4eb42e3e" targetNamespace="http://schemas.microsoft.com/office/2006/metadata/properties" ma:root="true" ma:fieldsID="eb6ca0f00e39baaf4a82deda80a0d6c4" ns1:_="" ns2:_="" ns3:_="">
    <xsd:import namespace="http://schemas.microsoft.com/sharepoint/v3"/>
    <xsd:import namespace="9d5a042f-4e55-493d-87b9-1a885c8bebca"/>
    <xsd:import namespace="0b58a66a-bac9-4880-889e-ae8f4eb42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a042f-4e55-493d-87b9-1a885c8be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685ab4-baa2-4c4f-bb7f-5702bb19f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8a66a-bac9-4880-889e-ae8f4eb42e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8f17ed-7fc9-4071-8b48-d469daf0e223}" ma:internalName="TaxCatchAll" ma:showField="CatchAllData" ma:web="0b58a66a-bac9-4880-889e-ae8f4eb42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05D9-FE26-4C1D-ACF8-5975052AA435}">
  <ds:schemaRefs>
    <ds:schemaRef ds:uri="http://schemas.microsoft.com/office/2006/metadata/properties"/>
    <ds:schemaRef ds:uri="http://schemas.microsoft.com/office/infopath/2007/PartnerControls"/>
    <ds:schemaRef ds:uri="http://schemas.microsoft.com/sharepoint/v3"/>
    <ds:schemaRef ds:uri="0b58a66a-bac9-4880-889e-ae8f4eb42e3e"/>
    <ds:schemaRef ds:uri="9d5a042f-4e55-493d-87b9-1a885c8bebca"/>
  </ds:schemaRefs>
</ds:datastoreItem>
</file>

<file path=customXml/itemProps2.xml><?xml version="1.0" encoding="utf-8"?>
<ds:datastoreItem xmlns:ds="http://schemas.openxmlformats.org/officeDocument/2006/customXml" ds:itemID="{32D12F42-7F2A-486F-8ED9-C46E57BBA121}">
  <ds:schemaRefs>
    <ds:schemaRef ds:uri="http://schemas.microsoft.com/sharepoint/v3/contenttype/forms"/>
  </ds:schemaRefs>
</ds:datastoreItem>
</file>

<file path=customXml/itemProps3.xml><?xml version="1.0" encoding="utf-8"?>
<ds:datastoreItem xmlns:ds="http://schemas.openxmlformats.org/officeDocument/2006/customXml" ds:itemID="{CD85A7B4-5054-4453-BB12-BAD20B89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a042f-4e55-493d-87b9-1a885c8bebca"/>
    <ds:schemaRef ds:uri="0b58a66a-bac9-4880-889e-ae8f4eb42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0AE98-F39D-4C71-967D-7EF6C7ED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NCOB general template - clean.dotm</Template>
  <TotalTime>0</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Links>
    <vt:vector size="42" baseType="variant">
      <vt:variant>
        <vt:i4>6422597</vt:i4>
      </vt:variant>
      <vt:variant>
        <vt:i4>18</vt:i4>
      </vt:variant>
      <vt:variant>
        <vt:i4>0</vt:i4>
      </vt:variant>
      <vt:variant>
        <vt:i4>5</vt:i4>
      </vt:variant>
      <vt:variant>
        <vt:lpwstr>mailto:mgray@nuffieldbioethics.org</vt:lpwstr>
      </vt:variant>
      <vt:variant>
        <vt:lpwstr/>
      </vt:variant>
      <vt:variant>
        <vt:i4>262224</vt:i4>
      </vt:variant>
      <vt:variant>
        <vt:i4>15</vt:i4>
      </vt:variant>
      <vt:variant>
        <vt:i4>0</vt:i4>
      </vt:variant>
      <vt:variant>
        <vt:i4>5</vt:i4>
      </vt:variant>
      <vt:variant>
        <vt:lpwstr>https://sciencewise.org.uk/wp-content/uploads/2019/11/Guiding-Principles.pdf</vt:lpwstr>
      </vt:variant>
      <vt:variant>
        <vt:lpwstr/>
      </vt:variant>
      <vt:variant>
        <vt:i4>6160473</vt:i4>
      </vt:variant>
      <vt:variant>
        <vt:i4>12</vt:i4>
      </vt:variant>
      <vt:variant>
        <vt:i4>0</vt:i4>
      </vt:variant>
      <vt:variant>
        <vt:i4>5</vt:i4>
      </vt:variant>
      <vt:variant>
        <vt:lpwstr>https://www.nuffieldbioethics.org/publications?type=report&amp;year=</vt:lpwstr>
      </vt:variant>
      <vt:variant>
        <vt:lpwstr/>
      </vt:variant>
      <vt:variant>
        <vt:i4>1835015</vt:i4>
      </vt:variant>
      <vt:variant>
        <vt:i4>9</vt:i4>
      </vt:variant>
      <vt:variant>
        <vt:i4>0</vt:i4>
      </vt:variant>
      <vt:variant>
        <vt:i4>5</vt:i4>
      </vt:variant>
      <vt:variant>
        <vt:lpwstr>https://www.nuffieldbioethics.org/news/council-begins-series-of-creative-engagement-workshops-for-ageing-inquiry</vt:lpwstr>
      </vt:variant>
      <vt:variant>
        <vt:lpwstr/>
      </vt:variant>
      <vt:variant>
        <vt:i4>4784129</vt:i4>
      </vt:variant>
      <vt:variant>
        <vt:i4>6</vt:i4>
      </vt:variant>
      <vt:variant>
        <vt:i4>0</vt:i4>
      </vt:variant>
      <vt:variant>
        <vt:i4>5</vt:i4>
      </vt:variant>
      <vt:variant>
        <vt:lpwstr>https://www.gov.uk/government/publications/industrial-strategy-the-grand-challenges/missions</vt:lpwstr>
      </vt:variant>
      <vt:variant>
        <vt:lpwstr/>
      </vt:variant>
      <vt:variant>
        <vt:i4>4587533</vt:i4>
      </vt:variant>
      <vt:variant>
        <vt:i4>3</vt:i4>
      </vt:variant>
      <vt:variant>
        <vt:i4>0</vt:i4>
      </vt:variant>
      <vt:variant>
        <vt:i4>5</vt:i4>
      </vt:variant>
      <vt:variant>
        <vt:lpwstr>https://www.nuffieldbioethics.org/publications/the-future-of-ageing/the-working-group</vt:lpwstr>
      </vt:variant>
      <vt:variant>
        <vt:lpwstr/>
      </vt:variant>
      <vt:variant>
        <vt:i4>7078008</vt:i4>
      </vt:variant>
      <vt:variant>
        <vt:i4>0</vt:i4>
      </vt:variant>
      <vt:variant>
        <vt:i4>0</vt:i4>
      </vt:variant>
      <vt:variant>
        <vt:i4>5</vt:i4>
      </vt:variant>
      <vt:variant>
        <vt:lpwstr>https://www.nuffieldbioethics.org/publications/the-future-of-ageing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Harvey</dc:creator>
  <cp:keywords/>
  <dc:description/>
  <cp:lastModifiedBy>Molly Gray</cp:lastModifiedBy>
  <cp:revision>15</cp:revision>
  <dcterms:created xsi:type="dcterms:W3CDTF">2022-03-17T13:12:00Z</dcterms:created>
  <dcterms:modified xsi:type="dcterms:W3CDTF">2022-03-17T14:41:00Z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0x01010049D733273B62094894C9E2E3EE6B30A7</vt:lpwstr>
  </property>
  <property fmtid="{D5CDD505-2E9C-101B-9397-08002B2CF9AE}" pid="3" name="MediaServiceImageTags">
    <vt:lpwstr/>
  </property>
</Properties>
</file>